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DA89E" w14:textId="77777777" w:rsidR="00DC2253" w:rsidRPr="00102925" w:rsidRDefault="00DC2253" w:rsidP="00152A10">
      <w:pPr>
        <w:spacing w:after="120"/>
        <w:jc w:val="right"/>
        <w:rPr>
          <w:rFonts w:ascii="Palatino Linotype" w:hAnsi="Palatino Linotype"/>
          <w:b/>
          <w:sz w:val="24"/>
          <w:szCs w:val="24"/>
          <w:lang w:val="ro-RO"/>
        </w:rPr>
      </w:pPr>
      <w:r w:rsidRPr="00DC2253">
        <w:rPr>
          <w:lang w:val="ro-RO"/>
        </w:rPr>
        <w:tab/>
      </w:r>
      <w:r w:rsidR="00102925" w:rsidRPr="00102925">
        <w:rPr>
          <w:rFonts w:ascii="Palatino Linotype" w:hAnsi="Palatino Linotype"/>
          <w:b/>
          <w:sz w:val="24"/>
          <w:szCs w:val="24"/>
          <w:lang w:val="ro-RO"/>
        </w:rPr>
        <w:t>22 septembrie 2022</w:t>
      </w:r>
    </w:p>
    <w:p w14:paraId="388A87E5" w14:textId="77777777" w:rsidR="00102925" w:rsidRDefault="00102925" w:rsidP="00152A10">
      <w:pPr>
        <w:spacing w:after="120"/>
        <w:jc w:val="both"/>
        <w:rPr>
          <w:lang w:val="ro-RO"/>
        </w:rPr>
      </w:pPr>
    </w:p>
    <w:p w14:paraId="358C3582" w14:textId="77777777" w:rsidR="00102925" w:rsidRPr="00DC2253" w:rsidRDefault="00102925" w:rsidP="00152A10">
      <w:pPr>
        <w:spacing w:after="120"/>
        <w:jc w:val="both"/>
        <w:rPr>
          <w:lang w:val="ro-RO"/>
        </w:rPr>
      </w:pPr>
    </w:p>
    <w:p w14:paraId="5EED837B" w14:textId="77777777" w:rsidR="00DC2253" w:rsidRPr="00DC2253" w:rsidRDefault="00DC2253" w:rsidP="00152A10">
      <w:pPr>
        <w:spacing w:after="120"/>
        <w:jc w:val="both"/>
        <w:rPr>
          <w:lang w:val="ro-RO"/>
        </w:rPr>
      </w:pPr>
    </w:p>
    <w:p w14:paraId="58D9FBEB" w14:textId="77777777" w:rsidR="00DC2253" w:rsidRPr="00102925" w:rsidRDefault="00DC2253" w:rsidP="00152A10">
      <w:pPr>
        <w:spacing w:after="120"/>
        <w:ind w:firstLine="708"/>
        <w:jc w:val="both"/>
        <w:rPr>
          <w:rFonts w:ascii="Palatino Linotype" w:hAnsi="Palatino Linotype"/>
          <w:b/>
          <w:sz w:val="24"/>
          <w:szCs w:val="24"/>
          <w:lang w:val="ro-RO"/>
        </w:rPr>
      </w:pPr>
      <w:r w:rsidRPr="00102925">
        <w:rPr>
          <w:rFonts w:ascii="Palatino Linotype" w:hAnsi="Palatino Linotype"/>
          <w:b/>
          <w:sz w:val="24"/>
          <w:szCs w:val="24"/>
          <w:lang w:val="ro-RO"/>
        </w:rPr>
        <w:t xml:space="preserve">Stimată doamnă preşedinte a Înaltei Curţi de Casaţie şi Justiţie, </w:t>
      </w:r>
    </w:p>
    <w:p w14:paraId="3DA25856" w14:textId="77777777" w:rsidR="00DC2253" w:rsidRPr="00102925" w:rsidRDefault="00DC2253" w:rsidP="00152A10">
      <w:pPr>
        <w:spacing w:after="120"/>
        <w:jc w:val="both"/>
        <w:rPr>
          <w:rFonts w:ascii="Palatino Linotype" w:hAnsi="Palatino Linotype"/>
          <w:b/>
          <w:sz w:val="24"/>
          <w:szCs w:val="24"/>
          <w:lang w:val="ro-RO"/>
        </w:rPr>
      </w:pPr>
      <w:r w:rsidRPr="00102925">
        <w:rPr>
          <w:rFonts w:ascii="Palatino Linotype" w:hAnsi="Palatino Linotype"/>
          <w:b/>
          <w:sz w:val="24"/>
          <w:szCs w:val="24"/>
          <w:lang w:val="ro-RO"/>
        </w:rPr>
        <w:tab/>
        <w:t xml:space="preserve">Stimate domnule ministru al justiţiei, </w:t>
      </w:r>
    </w:p>
    <w:p w14:paraId="1823BFA6" w14:textId="77777777" w:rsidR="00DC2253" w:rsidRPr="00102925" w:rsidRDefault="00DC2253" w:rsidP="00152A10">
      <w:pPr>
        <w:spacing w:after="120"/>
        <w:jc w:val="both"/>
        <w:rPr>
          <w:rFonts w:ascii="Palatino Linotype" w:hAnsi="Palatino Linotype"/>
          <w:b/>
          <w:sz w:val="24"/>
          <w:szCs w:val="24"/>
          <w:lang w:val="ro-RO"/>
        </w:rPr>
      </w:pPr>
      <w:r w:rsidRPr="00102925">
        <w:rPr>
          <w:rFonts w:ascii="Palatino Linotype" w:hAnsi="Palatino Linotype"/>
          <w:b/>
          <w:sz w:val="24"/>
          <w:szCs w:val="24"/>
          <w:lang w:val="ro-RO"/>
        </w:rPr>
        <w:tab/>
        <w:t xml:space="preserve">Stimate domnule preşedinte al CSM, </w:t>
      </w:r>
    </w:p>
    <w:p w14:paraId="2E7C0611" w14:textId="77777777" w:rsidR="00DC2253" w:rsidRPr="00102925" w:rsidRDefault="00DC2253" w:rsidP="00152A10">
      <w:pPr>
        <w:spacing w:after="120"/>
        <w:jc w:val="both"/>
        <w:rPr>
          <w:rFonts w:ascii="Palatino Linotype" w:hAnsi="Palatino Linotype"/>
          <w:b/>
          <w:sz w:val="24"/>
          <w:szCs w:val="24"/>
          <w:lang w:val="ro-RO"/>
        </w:rPr>
      </w:pPr>
      <w:r w:rsidRPr="00102925">
        <w:rPr>
          <w:rFonts w:ascii="Palatino Linotype" w:hAnsi="Palatino Linotype"/>
          <w:b/>
          <w:sz w:val="24"/>
          <w:szCs w:val="24"/>
          <w:lang w:val="ro-RO"/>
        </w:rPr>
        <w:tab/>
        <w:t xml:space="preserve">Stimate domnule vicepreşedinte, </w:t>
      </w:r>
    </w:p>
    <w:p w14:paraId="67018DF2" w14:textId="77777777" w:rsidR="00DC2253" w:rsidRPr="00102925" w:rsidRDefault="00DC2253" w:rsidP="00152A10">
      <w:pPr>
        <w:spacing w:after="120"/>
        <w:jc w:val="both"/>
        <w:rPr>
          <w:rFonts w:ascii="Palatino Linotype" w:hAnsi="Palatino Linotype"/>
          <w:b/>
          <w:sz w:val="24"/>
          <w:szCs w:val="24"/>
          <w:lang w:val="ro-RO"/>
        </w:rPr>
      </w:pPr>
      <w:r w:rsidRPr="00102925">
        <w:rPr>
          <w:rFonts w:ascii="Palatino Linotype" w:hAnsi="Palatino Linotype"/>
          <w:b/>
          <w:sz w:val="24"/>
          <w:szCs w:val="24"/>
          <w:lang w:val="ro-RO"/>
        </w:rPr>
        <w:tab/>
        <w:t xml:space="preserve">Stimaţi invitaţi şi dragi colegi, </w:t>
      </w:r>
    </w:p>
    <w:p w14:paraId="41AF599A" w14:textId="77777777" w:rsidR="00DC2253" w:rsidRPr="00DC2253" w:rsidRDefault="00DC2253" w:rsidP="00152A10">
      <w:pPr>
        <w:spacing w:after="120"/>
        <w:rPr>
          <w:lang w:val="ro-RO"/>
        </w:rPr>
      </w:pPr>
    </w:p>
    <w:p w14:paraId="7F0D36DE" w14:textId="77777777" w:rsidR="00DC2253" w:rsidRPr="00DC2253" w:rsidRDefault="00DC2253" w:rsidP="00152A10">
      <w:pPr>
        <w:spacing w:after="120"/>
        <w:jc w:val="both"/>
        <w:rPr>
          <w:lang w:val="ro-RO"/>
        </w:rPr>
      </w:pPr>
    </w:p>
    <w:p w14:paraId="38FEDF41" w14:textId="77777777" w:rsidR="00DC2253" w:rsidRPr="00DC2253" w:rsidRDefault="00102925" w:rsidP="00152A10">
      <w:pPr>
        <w:spacing w:after="120"/>
        <w:ind w:firstLine="900"/>
        <w:jc w:val="both"/>
        <w:rPr>
          <w:rFonts w:ascii="Palatino Linotype" w:hAnsi="Palatino Linotype"/>
          <w:sz w:val="25"/>
          <w:szCs w:val="25"/>
          <w:lang w:val="ro-RO"/>
        </w:rPr>
      </w:pPr>
      <w:r>
        <w:rPr>
          <w:rFonts w:ascii="Palatino Linotype" w:hAnsi="Palatino Linotype"/>
          <w:sz w:val="25"/>
          <w:szCs w:val="25"/>
          <w:lang w:val="ro-RO"/>
        </w:rPr>
        <w:t>Vă mulțumesc tuturor pentru prezență</w:t>
      </w:r>
      <w:r w:rsidR="00DC2253" w:rsidRPr="00DC2253">
        <w:rPr>
          <w:rFonts w:ascii="Palatino Linotype" w:hAnsi="Palatino Linotype"/>
          <w:sz w:val="25"/>
          <w:szCs w:val="25"/>
          <w:lang w:val="ro-RO"/>
        </w:rPr>
        <w:t xml:space="preserve">. Le mulțumesc invitaților noștri pentru coordonarea eficientă și pentru sprijinul instituțional arătat Ministerului Public. </w:t>
      </w:r>
    </w:p>
    <w:p w14:paraId="24C79D27" w14:textId="77777777" w:rsidR="00DC2253" w:rsidRPr="00DC2253"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 xml:space="preserve">Activitatea programată astăzi readuce în condiții de normalitate toate demersurile MP. Deși pare simplu de organizat și </w:t>
      </w:r>
      <w:r w:rsidR="00102925">
        <w:rPr>
          <w:rFonts w:ascii="Palatino Linotype" w:hAnsi="Palatino Linotype"/>
          <w:sz w:val="25"/>
          <w:szCs w:val="25"/>
          <w:lang w:val="ro-RO"/>
        </w:rPr>
        <w:t xml:space="preserve">de </w:t>
      </w:r>
      <w:r w:rsidRPr="00DC2253">
        <w:rPr>
          <w:rFonts w:ascii="Palatino Linotype" w:hAnsi="Palatino Linotype"/>
          <w:sz w:val="25"/>
          <w:szCs w:val="25"/>
          <w:lang w:val="ro-RO"/>
        </w:rPr>
        <w:t xml:space="preserve">convocat Adunarea generală, la PÎCCJ trebuie să fie prezenți cel puțin 72 de procurori (în condiții ideale), iar astăzi  44 – ținând cont de faptul că acum ne desfășurăm activitatea cu </w:t>
      </w:r>
      <w:r w:rsidR="0094427C">
        <w:rPr>
          <w:rFonts w:ascii="Palatino Linotype" w:hAnsi="Palatino Linotype"/>
          <w:sz w:val="25"/>
          <w:szCs w:val="25"/>
          <w:lang w:val="ro-RO"/>
        </w:rPr>
        <w:t xml:space="preserve">doar </w:t>
      </w:r>
      <w:r w:rsidRPr="00DC2253">
        <w:rPr>
          <w:rFonts w:ascii="Palatino Linotype" w:hAnsi="Palatino Linotype"/>
          <w:sz w:val="25"/>
          <w:szCs w:val="25"/>
          <w:lang w:val="ro-RO"/>
        </w:rPr>
        <w:t xml:space="preserve">86 de procurori. </w:t>
      </w:r>
    </w:p>
    <w:p w14:paraId="18E4A129" w14:textId="77777777" w:rsidR="00DC2253" w:rsidRPr="00DC2253"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 xml:space="preserve">Restricțiile sanitare din perioadele tradiționale de prezentare a raportului de activitate, în 2020, 2021 și 2022 (ultimul val de infectări COVID), au constituit principalul factor care a împiedicat organizarea adunării generale, </w:t>
      </w:r>
      <w:r w:rsidRPr="0094427C">
        <w:rPr>
          <w:rFonts w:ascii="Palatino Linotype" w:hAnsi="Palatino Linotype"/>
          <w:b/>
          <w:sz w:val="25"/>
          <w:szCs w:val="25"/>
          <w:lang w:val="ro-RO"/>
        </w:rPr>
        <w:t>în format fizic</w:t>
      </w:r>
      <w:r w:rsidRPr="00DC2253">
        <w:rPr>
          <w:rFonts w:ascii="Palatino Linotype" w:hAnsi="Palatino Linotype"/>
          <w:sz w:val="25"/>
          <w:szCs w:val="25"/>
          <w:lang w:val="ro-RO"/>
        </w:rPr>
        <w:t>. În acest an, apariția Legii nr.49/2022 privind desființarea SIIJ ne-a plasat pe un curs contra cronometru, fiind p</w:t>
      </w:r>
      <w:r w:rsidR="00C91AB8">
        <w:rPr>
          <w:rFonts w:ascii="Palatino Linotype" w:hAnsi="Palatino Linotype"/>
          <w:sz w:val="25"/>
          <w:szCs w:val="25"/>
          <w:lang w:val="ro-RO"/>
        </w:rPr>
        <w:t>reocupați – în principal  - să</w:t>
      </w:r>
      <w:r w:rsidRPr="00DC2253">
        <w:rPr>
          <w:rFonts w:ascii="Palatino Linotype" w:hAnsi="Palatino Linotype"/>
          <w:sz w:val="25"/>
          <w:szCs w:val="25"/>
          <w:lang w:val="ro-RO"/>
        </w:rPr>
        <w:t xml:space="preserve"> </w:t>
      </w:r>
      <w:r w:rsidR="00C91AB8">
        <w:rPr>
          <w:rFonts w:ascii="Palatino Linotype" w:hAnsi="Palatino Linotype"/>
          <w:sz w:val="25"/>
          <w:szCs w:val="25"/>
          <w:lang w:val="ro-RO"/>
        </w:rPr>
        <w:t xml:space="preserve">repartizăm cauzele parchetelor devenite competente, să </w:t>
      </w:r>
      <w:r w:rsidRPr="00DC2253">
        <w:rPr>
          <w:rFonts w:ascii="Palatino Linotype" w:hAnsi="Palatino Linotype"/>
          <w:sz w:val="25"/>
          <w:szCs w:val="25"/>
          <w:lang w:val="ro-RO"/>
        </w:rPr>
        <w:t>reduce</w:t>
      </w:r>
      <w:r w:rsidR="00C91AB8">
        <w:rPr>
          <w:rFonts w:ascii="Palatino Linotype" w:hAnsi="Palatino Linotype"/>
          <w:sz w:val="25"/>
          <w:szCs w:val="25"/>
          <w:lang w:val="ro-RO"/>
        </w:rPr>
        <w:t>m</w:t>
      </w:r>
      <w:r w:rsidRPr="00DC2253">
        <w:rPr>
          <w:rFonts w:ascii="Palatino Linotype" w:hAnsi="Palatino Linotype"/>
          <w:sz w:val="25"/>
          <w:szCs w:val="25"/>
          <w:lang w:val="ro-RO"/>
        </w:rPr>
        <w:t xml:space="preserve"> durata de s</w:t>
      </w:r>
      <w:r w:rsidR="00C91AB8">
        <w:rPr>
          <w:rFonts w:ascii="Palatino Linotype" w:hAnsi="Palatino Linotype"/>
          <w:sz w:val="25"/>
          <w:szCs w:val="25"/>
          <w:lang w:val="ro-RO"/>
        </w:rPr>
        <w:t>oluționare a acestor cauze, să abordăm</w:t>
      </w:r>
      <w:r w:rsidRPr="00DC2253">
        <w:rPr>
          <w:rFonts w:ascii="Palatino Linotype" w:hAnsi="Palatino Linotype"/>
          <w:sz w:val="25"/>
          <w:szCs w:val="25"/>
          <w:lang w:val="ro-RO"/>
        </w:rPr>
        <w:t xml:space="preserve"> hotărât cauzele care sunt atenție publică sau care sunt un test al capacității MP, în raport de atingerea obiectivelor MCV. </w:t>
      </w:r>
    </w:p>
    <w:p w14:paraId="16075A05" w14:textId="77777777" w:rsidR="00DC2253" w:rsidRPr="00DC2253"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 xml:space="preserve">Pentru a ghida această prezentare, vă voi indica </w:t>
      </w:r>
      <w:r w:rsidRPr="00DC2253">
        <w:rPr>
          <w:rFonts w:ascii="Palatino Linotype" w:hAnsi="Palatino Linotype"/>
          <w:b/>
          <w:sz w:val="25"/>
          <w:szCs w:val="25"/>
          <w:lang w:val="ro-RO"/>
        </w:rPr>
        <w:t>5 domenii</w:t>
      </w:r>
      <w:r w:rsidRPr="00DC2253">
        <w:rPr>
          <w:rFonts w:ascii="Palatino Linotype" w:hAnsi="Palatino Linotype"/>
          <w:sz w:val="25"/>
          <w:szCs w:val="25"/>
          <w:lang w:val="ro-RO"/>
        </w:rPr>
        <w:t xml:space="preserve"> asupra cărora se impune să ne oprim în dezbaterile adunării generale: </w:t>
      </w:r>
    </w:p>
    <w:p w14:paraId="3315272B" w14:textId="77777777" w:rsidR="00DC2253" w:rsidRPr="00DC2253" w:rsidRDefault="00DC2253" w:rsidP="00152A10">
      <w:pPr>
        <w:pStyle w:val="ListParagraph"/>
        <w:numPr>
          <w:ilvl w:val="0"/>
          <w:numId w:val="11"/>
        </w:numPr>
        <w:spacing w:after="120"/>
        <w:jc w:val="both"/>
        <w:rPr>
          <w:rFonts w:ascii="Palatino Linotype" w:hAnsi="Palatino Linotype"/>
          <w:sz w:val="25"/>
          <w:szCs w:val="25"/>
          <w:lang w:val="ro-RO"/>
        </w:rPr>
      </w:pPr>
      <w:r w:rsidRPr="00DC2253">
        <w:rPr>
          <w:rFonts w:ascii="Palatino Linotype" w:hAnsi="Palatino Linotype"/>
          <w:sz w:val="25"/>
          <w:szCs w:val="25"/>
          <w:lang w:val="ro-RO"/>
        </w:rPr>
        <w:t xml:space="preserve">tendințele rezultate din activitatea parchetelor, </w:t>
      </w:r>
    </w:p>
    <w:p w14:paraId="4D8C5CAF" w14:textId="77777777" w:rsidR="00DC2253" w:rsidRPr="00DC2253" w:rsidRDefault="00DC2253" w:rsidP="00152A10">
      <w:pPr>
        <w:pStyle w:val="ListParagraph"/>
        <w:numPr>
          <w:ilvl w:val="0"/>
          <w:numId w:val="11"/>
        </w:numPr>
        <w:spacing w:after="120"/>
        <w:jc w:val="both"/>
        <w:rPr>
          <w:rFonts w:ascii="Palatino Linotype" w:hAnsi="Palatino Linotype"/>
          <w:sz w:val="25"/>
          <w:szCs w:val="25"/>
          <w:lang w:val="ro-RO"/>
        </w:rPr>
      </w:pPr>
      <w:r w:rsidRPr="00DC2253">
        <w:rPr>
          <w:rFonts w:ascii="Palatino Linotype" w:hAnsi="Palatino Linotype"/>
          <w:sz w:val="25"/>
          <w:szCs w:val="25"/>
          <w:lang w:val="ro-RO"/>
        </w:rPr>
        <w:t xml:space="preserve">rezultatele înregistrate în domeniile prioritare, </w:t>
      </w:r>
    </w:p>
    <w:p w14:paraId="1CCC8B08" w14:textId="77777777" w:rsidR="00DC2253" w:rsidRPr="00DC2253" w:rsidRDefault="00DC2253" w:rsidP="00152A10">
      <w:pPr>
        <w:pStyle w:val="ListParagraph"/>
        <w:numPr>
          <w:ilvl w:val="0"/>
          <w:numId w:val="11"/>
        </w:numPr>
        <w:spacing w:after="120"/>
        <w:jc w:val="both"/>
        <w:rPr>
          <w:rFonts w:ascii="Palatino Linotype" w:hAnsi="Palatino Linotype"/>
          <w:sz w:val="25"/>
          <w:szCs w:val="25"/>
          <w:lang w:val="ro-RO"/>
        </w:rPr>
      </w:pPr>
      <w:r w:rsidRPr="00DC2253">
        <w:rPr>
          <w:rFonts w:ascii="Palatino Linotype" w:hAnsi="Palatino Linotype"/>
          <w:sz w:val="25"/>
          <w:szCs w:val="25"/>
          <w:lang w:val="ro-RO"/>
        </w:rPr>
        <w:t xml:space="preserve">elemente cheie pentru realizarea misiunii MP, </w:t>
      </w:r>
    </w:p>
    <w:p w14:paraId="6DFE6322" w14:textId="77777777" w:rsidR="00DC2253" w:rsidRPr="00DC2253" w:rsidRDefault="00DC2253" w:rsidP="00152A10">
      <w:pPr>
        <w:pStyle w:val="ListParagraph"/>
        <w:numPr>
          <w:ilvl w:val="0"/>
          <w:numId w:val="11"/>
        </w:numPr>
        <w:spacing w:after="120"/>
        <w:jc w:val="both"/>
        <w:rPr>
          <w:rFonts w:ascii="Palatino Linotype" w:hAnsi="Palatino Linotype"/>
          <w:sz w:val="25"/>
          <w:szCs w:val="25"/>
          <w:lang w:val="ro-RO"/>
        </w:rPr>
      </w:pPr>
      <w:r w:rsidRPr="00DC2253">
        <w:rPr>
          <w:rFonts w:ascii="Palatino Linotype" w:hAnsi="Palatino Linotype"/>
          <w:sz w:val="25"/>
          <w:szCs w:val="25"/>
          <w:lang w:val="ro-RO"/>
        </w:rPr>
        <w:t xml:space="preserve">reperele externe pentru activitatea MP, </w:t>
      </w:r>
    </w:p>
    <w:p w14:paraId="532DF627" w14:textId="77777777" w:rsidR="00DC2253" w:rsidRPr="00DC2253" w:rsidRDefault="00DC2253" w:rsidP="00152A10">
      <w:pPr>
        <w:pStyle w:val="ListParagraph"/>
        <w:numPr>
          <w:ilvl w:val="0"/>
          <w:numId w:val="11"/>
        </w:numPr>
        <w:spacing w:after="120"/>
        <w:jc w:val="both"/>
        <w:rPr>
          <w:rFonts w:ascii="Palatino Linotype" w:hAnsi="Palatino Linotype"/>
          <w:sz w:val="25"/>
          <w:szCs w:val="25"/>
          <w:lang w:val="ro-RO"/>
        </w:rPr>
      </w:pPr>
      <w:r w:rsidRPr="00DC2253">
        <w:rPr>
          <w:rFonts w:ascii="Palatino Linotype" w:hAnsi="Palatino Linotype"/>
          <w:sz w:val="25"/>
          <w:szCs w:val="25"/>
          <w:lang w:val="ro-RO"/>
        </w:rPr>
        <w:t xml:space="preserve">obiectivele anului 2022  (care au fost comunicate în adunările generale ale parchetelor nespecializate, DNA și DIICOT). </w:t>
      </w:r>
    </w:p>
    <w:p w14:paraId="2549181A" w14:textId="77777777" w:rsidR="00DC2253" w:rsidRPr="00AE1A66" w:rsidRDefault="00DC2253" w:rsidP="00152A10">
      <w:pPr>
        <w:spacing w:after="120"/>
        <w:ind w:firstLine="720"/>
        <w:jc w:val="both"/>
        <w:rPr>
          <w:rFonts w:ascii="Palatino Linotype" w:hAnsi="Palatino Linotype"/>
          <w:b/>
          <w:sz w:val="25"/>
          <w:szCs w:val="25"/>
          <w:lang w:val="ro-RO"/>
        </w:rPr>
      </w:pPr>
      <w:r w:rsidRPr="00DC2253">
        <w:rPr>
          <w:rFonts w:ascii="Palatino Linotype" w:hAnsi="Palatino Linotype"/>
          <w:sz w:val="25"/>
          <w:szCs w:val="25"/>
          <w:lang w:val="ro-RO"/>
        </w:rPr>
        <w:lastRenderedPageBreak/>
        <w:t>Premisa mandatului preluat în anul 2020 părea să fie de dispariţie a presiunilor externe asupra independenţei procurorilor</w:t>
      </w:r>
      <w:r w:rsidR="0094427C">
        <w:rPr>
          <w:rFonts w:ascii="Palatino Linotype" w:hAnsi="Palatino Linotype"/>
          <w:sz w:val="25"/>
          <w:szCs w:val="25"/>
          <w:lang w:val="ro-RO"/>
        </w:rPr>
        <w:t xml:space="preserve"> şi de desfăşurare a activităţii în sp</w:t>
      </w:r>
      <w:r w:rsidR="00102925">
        <w:rPr>
          <w:rFonts w:ascii="Palatino Linotype" w:hAnsi="Palatino Linotype"/>
          <w:sz w:val="25"/>
          <w:szCs w:val="25"/>
          <w:lang w:val="ro-RO"/>
        </w:rPr>
        <w:t>i</w:t>
      </w:r>
      <w:r w:rsidR="0094427C">
        <w:rPr>
          <w:rFonts w:ascii="Palatino Linotype" w:hAnsi="Palatino Linotype"/>
          <w:sz w:val="25"/>
          <w:szCs w:val="25"/>
          <w:lang w:val="ro-RO"/>
        </w:rPr>
        <w:t>ritul unor reforme aşteptate de societate şi de sistemul judiciar. Î</w:t>
      </w:r>
      <w:r w:rsidRPr="00DC2253">
        <w:rPr>
          <w:rFonts w:ascii="Palatino Linotype" w:hAnsi="Palatino Linotype"/>
          <w:sz w:val="25"/>
          <w:szCs w:val="25"/>
          <w:lang w:val="ro-RO"/>
        </w:rPr>
        <w:t>n concret, un alt tip de factor a setat activitatea noastră în 2020 şi cea mai mare parte a anului 2021</w:t>
      </w:r>
      <w:r w:rsidR="00AE1A66">
        <w:rPr>
          <w:rFonts w:ascii="Palatino Linotype" w:hAnsi="Palatino Linotype"/>
          <w:sz w:val="25"/>
          <w:szCs w:val="25"/>
          <w:lang w:val="ro-RO"/>
        </w:rPr>
        <w:t xml:space="preserve"> – pandemia Covid-19</w:t>
      </w:r>
      <w:r w:rsidRPr="00DC2253">
        <w:rPr>
          <w:rFonts w:ascii="Palatino Linotype" w:hAnsi="Palatino Linotype"/>
          <w:sz w:val="25"/>
          <w:szCs w:val="25"/>
          <w:lang w:val="ro-RO"/>
        </w:rPr>
        <w:t xml:space="preserve">, astfel că ne putem referi la </w:t>
      </w:r>
      <w:r w:rsidR="00102925">
        <w:rPr>
          <w:rFonts w:ascii="Palatino Linotype" w:hAnsi="Palatino Linotype"/>
          <w:sz w:val="25"/>
          <w:szCs w:val="25"/>
          <w:lang w:val="ro-RO"/>
        </w:rPr>
        <w:t xml:space="preserve">alte </w:t>
      </w:r>
      <w:r w:rsidRPr="00DC2253">
        <w:rPr>
          <w:rFonts w:ascii="Palatino Linotype" w:hAnsi="Palatino Linotype"/>
          <w:sz w:val="25"/>
          <w:szCs w:val="25"/>
          <w:lang w:val="ro-RO"/>
        </w:rPr>
        <w:t xml:space="preserve">2 coordonate clare: </w:t>
      </w:r>
      <w:r w:rsidRPr="00AE1A66">
        <w:rPr>
          <w:rFonts w:ascii="Palatino Linotype" w:hAnsi="Palatino Linotype"/>
          <w:b/>
          <w:sz w:val="25"/>
          <w:szCs w:val="25"/>
          <w:lang w:val="ro-RO"/>
        </w:rPr>
        <w:t xml:space="preserve">rezilienţă şi recuperare. </w:t>
      </w:r>
    </w:p>
    <w:p w14:paraId="002E606F" w14:textId="77777777" w:rsidR="00DC2253" w:rsidRDefault="00DC2253" w:rsidP="00152A10">
      <w:pPr>
        <w:spacing w:after="120"/>
        <w:ind w:firstLine="720"/>
        <w:jc w:val="both"/>
        <w:rPr>
          <w:rFonts w:ascii="Palatino Linotype" w:hAnsi="Palatino Linotype"/>
          <w:sz w:val="25"/>
          <w:szCs w:val="25"/>
          <w:lang w:val="ro-RO"/>
        </w:rPr>
      </w:pPr>
      <w:r w:rsidRPr="00DC2253">
        <w:rPr>
          <w:rFonts w:ascii="Palatino Linotype" w:hAnsi="Palatino Linotype"/>
          <w:sz w:val="25"/>
          <w:szCs w:val="25"/>
          <w:lang w:val="ro-RO"/>
        </w:rPr>
        <w:t xml:space="preserve">Am fost conştienţi că, mai mult decât de obicei, aşteptările societăţii de la MP vor fi mai mari, mai riguroase. </w:t>
      </w:r>
    </w:p>
    <w:p w14:paraId="0E3644A4" w14:textId="77777777" w:rsidR="00AE1A66" w:rsidRPr="00DC2253" w:rsidRDefault="00AE1A66" w:rsidP="00152A10">
      <w:pPr>
        <w:spacing w:after="120"/>
        <w:ind w:firstLine="720"/>
        <w:jc w:val="both"/>
        <w:rPr>
          <w:rFonts w:ascii="Palatino Linotype" w:hAnsi="Palatino Linotype"/>
          <w:sz w:val="25"/>
          <w:szCs w:val="25"/>
          <w:lang w:val="ro-RO"/>
        </w:rPr>
      </w:pPr>
    </w:p>
    <w:p w14:paraId="52F3F18A" w14:textId="77777777" w:rsidR="00DC2253" w:rsidRPr="00DC2253" w:rsidRDefault="00DC2253" w:rsidP="00152A10">
      <w:pPr>
        <w:shd w:val="clear" w:color="auto" w:fill="DEEAF6" w:themeFill="accent1" w:themeFillTint="33"/>
        <w:spacing w:after="120"/>
        <w:ind w:firstLine="900"/>
        <w:jc w:val="both"/>
        <w:rPr>
          <w:rFonts w:ascii="Palatino Linotype" w:hAnsi="Palatino Linotype"/>
          <w:b/>
          <w:sz w:val="25"/>
          <w:szCs w:val="25"/>
          <w:lang w:val="ro-RO"/>
        </w:rPr>
      </w:pPr>
      <w:r w:rsidRPr="00DC2253">
        <w:rPr>
          <w:rFonts w:ascii="Palatino Linotype" w:hAnsi="Palatino Linotype"/>
          <w:b/>
          <w:sz w:val="25"/>
          <w:szCs w:val="25"/>
          <w:lang w:val="ro-RO"/>
        </w:rPr>
        <w:t>Tendințele rezultate din activitatea parchetelor</w:t>
      </w:r>
    </w:p>
    <w:p w14:paraId="7386188C" w14:textId="77777777" w:rsidR="00152A10" w:rsidRDefault="00152A10" w:rsidP="00152A10">
      <w:pPr>
        <w:spacing w:after="120"/>
        <w:ind w:firstLine="900"/>
        <w:jc w:val="both"/>
        <w:rPr>
          <w:rFonts w:ascii="Palatino Linotype" w:hAnsi="Palatino Linotype"/>
          <w:b/>
          <w:sz w:val="25"/>
          <w:szCs w:val="25"/>
          <w:lang w:val="ro-RO"/>
        </w:rPr>
      </w:pPr>
    </w:p>
    <w:p w14:paraId="7A68A7F8" w14:textId="77777777" w:rsidR="00DC2253" w:rsidRPr="00DC2253" w:rsidRDefault="00DC2253" w:rsidP="00152A10">
      <w:pPr>
        <w:spacing w:after="120"/>
        <w:ind w:firstLine="900"/>
        <w:jc w:val="both"/>
        <w:rPr>
          <w:rFonts w:ascii="Palatino Linotype" w:hAnsi="Palatino Linotype"/>
          <w:sz w:val="25"/>
          <w:szCs w:val="25"/>
          <w:lang w:val="ro-RO"/>
        </w:rPr>
      </w:pPr>
      <w:r w:rsidRPr="00AE1A66">
        <w:rPr>
          <w:rFonts w:ascii="Palatino Linotype" w:hAnsi="Palatino Linotype"/>
          <w:b/>
          <w:sz w:val="25"/>
          <w:szCs w:val="25"/>
          <w:lang w:val="ro-RO"/>
        </w:rPr>
        <w:t xml:space="preserve">Referința </w:t>
      </w:r>
      <w:r w:rsidRPr="00DC2253">
        <w:rPr>
          <w:rFonts w:ascii="Palatino Linotype" w:hAnsi="Palatino Linotype"/>
          <w:sz w:val="25"/>
          <w:szCs w:val="25"/>
          <w:lang w:val="ro-RO"/>
        </w:rPr>
        <w:t xml:space="preserve">noastră se va păstra </w:t>
      </w:r>
      <w:r w:rsidRPr="00AE1A66">
        <w:rPr>
          <w:rFonts w:ascii="Palatino Linotype" w:hAnsi="Palatino Linotype"/>
          <w:b/>
          <w:sz w:val="25"/>
          <w:szCs w:val="25"/>
          <w:lang w:val="ro-RO"/>
        </w:rPr>
        <w:t>anul 2018</w:t>
      </w:r>
      <w:r w:rsidRPr="00DC2253">
        <w:rPr>
          <w:rFonts w:ascii="Palatino Linotype" w:hAnsi="Palatino Linotype"/>
          <w:sz w:val="25"/>
          <w:szCs w:val="25"/>
          <w:lang w:val="ro-RO"/>
        </w:rPr>
        <w:t>,</w:t>
      </w:r>
      <w:r w:rsidR="00102925">
        <w:rPr>
          <w:rFonts w:ascii="Palatino Linotype" w:hAnsi="Palatino Linotype"/>
          <w:sz w:val="25"/>
          <w:szCs w:val="25"/>
          <w:lang w:val="ro-RO"/>
        </w:rPr>
        <w:t xml:space="preserve"> corespunzător</w:t>
      </w:r>
      <w:r w:rsidRPr="00DC2253">
        <w:rPr>
          <w:rFonts w:ascii="Palatino Linotype" w:hAnsi="Palatino Linotype"/>
          <w:sz w:val="25"/>
          <w:szCs w:val="25"/>
          <w:lang w:val="ro-RO"/>
        </w:rPr>
        <w:t xml:space="preserve"> ultimul</w:t>
      </w:r>
      <w:r w:rsidR="00102925">
        <w:rPr>
          <w:rFonts w:ascii="Palatino Linotype" w:hAnsi="Palatino Linotype"/>
          <w:sz w:val="25"/>
          <w:szCs w:val="25"/>
          <w:lang w:val="ro-RO"/>
        </w:rPr>
        <w:t>ui</w:t>
      </w:r>
      <w:r w:rsidRPr="00DC2253">
        <w:rPr>
          <w:rFonts w:ascii="Palatino Linotype" w:hAnsi="Palatino Linotype"/>
          <w:sz w:val="25"/>
          <w:szCs w:val="25"/>
          <w:lang w:val="ro-RO"/>
        </w:rPr>
        <w:t xml:space="preserve"> raport de activitate prezentat, iar proiecția rezultatelor o vom realiza pe 3 ani (2019, 2020, 2021). </w:t>
      </w:r>
    </w:p>
    <w:p w14:paraId="1C00D1B4" w14:textId="77777777" w:rsidR="00DC2253" w:rsidRPr="00DC2253"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Am urmărit ca în 2021 să recuperăm integral scăderea produsă în anul 2020, eforturile noastre au dat</w:t>
      </w:r>
      <w:r w:rsidR="000D0C4A">
        <w:rPr>
          <w:rFonts w:ascii="Palatino Linotype" w:hAnsi="Palatino Linotype"/>
          <w:sz w:val="25"/>
          <w:szCs w:val="25"/>
          <w:lang w:val="ro-RO"/>
        </w:rPr>
        <w:t xml:space="preserve"> rezultat în proporţie de 80%. </w:t>
      </w:r>
    </w:p>
    <w:p w14:paraId="66799C90" w14:textId="77777777" w:rsidR="00DC2253" w:rsidRPr="00DC2253"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 xml:space="preserve">În instrumentele noastre de lucru, necesare pentru evaluarea realistă a activității, am introdus și </w:t>
      </w:r>
      <w:r w:rsidRPr="00DC2253">
        <w:rPr>
          <w:rFonts w:ascii="Palatino Linotype" w:hAnsi="Palatino Linotype"/>
          <w:b/>
          <w:sz w:val="25"/>
          <w:szCs w:val="25"/>
          <w:lang w:val="ro-RO"/>
        </w:rPr>
        <w:t>rata de soluționare</w:t>
      </w:r>
      <w:r w:rsidRPr="00DC2253">
        <w:rPr>
          <w:rFonts w:ascii="Palatino Linotype" w:hAnsi="Palatino Linotype"/>
          <w:sz w:val="25"/>
          <w:szCs w:val="25"/>
          <w:lang w:val="ro-RO"/>
        </w:rPr>
        <w:t xml:space="preserve"> a cauzelor, indicator folosit în privința evaluării activității instanțelor, conform Tabloului de bord privind justiția (civilă) folosit la nivelul instituțiilor UE și la organismele Consiliului Europei. </w:t>
      </w:r>
    </w:p>
    <w:p w14:paraId="627826AA" w14:textId="77777777" w:rsidR="00DC2253" w:rsidRPr="000D0C4A"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 xml:space="preserve">Exceptând anul 2020, în care sistemul judiciar și cetățenii s-au adaptat la lucrul în condiții de stres, volumul de activitate a rămas în parametri relativ constanți, la fel cauzele soluționate, ponderea cauzelor soluționate prin </w:t>
      </w:r>
      <w:r w:rsidRPr="00DC2253">
        <w:rPr>
          <w:rFonts w:ascii="Palatino Linotype" w:hAnsi="Palatino Linotype"/>
          <w:b/>
          <w:sz w:val="25"/>
          <w:szCs w:val="25"/>
          <w:lang w:val="ro-RO"/>
        </w:rPr>
        <w:t>trimitere în judecată</w:t>
      </w:r>
      <w:r w:rsidR="000D0C4A">
        <w:rPr>
          <w:rFonts w:ascii="Palatino Linotype" w:hAnsi="Palatino Linotype"/>
          <w:sz w:val="25"/>
          <w:szCs w:val="25"/>
          <w:lang w:val="ro-RO"/>
        </w:rPr>
        <w:t xml:space="preserve">. </w:t>
      </w:r>
    </w:p>
    <w:p w14:paraId="3670263E" w14:textId="77777777" w:rsidR="00DC2253" w:rsidRPr="00DC2253"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 xml:space="preserve">Acest indicator este cheia pentru realizarea misiunii MP, care constă în deducerea situațiilor de conflict pentru rezolvarea de către instanțele comptente.  Trimiterile în judecată relevă o îmbunătățire care are sustenabilitate, diferenţa de la  2018 la 2021 fiind de </w:t>
      </w:r>
      <w:r w:rsidRPr="00DC2253">
        <w:rPr>
          <w:rFonts w:ascii="Palatino Linotype" w:hAnsi="Palatino Linotype"/>
          <w:b/>
          <w:sz w:val="25"/>
          <w:szCs w:val="25"/>
          <w:lang w:val="ro-RO"/>
        </w:rPr>
        <w:t>+1,2</w:t>
      </w:r>
      <w:r w:rsidRPr="00DC2253">
        <w:rPr>
          <w:rFonts w:ascii="Palatino Linotype" w:hAnsi="Palatino Linotype"/>
          <w:sz w:val="25"/>
          <w:szCs w:val="25"/>
          <w:lang w:val="ro-RO"/>
        </w:rPr>
        <w:t xml:space="preserve"> pondere a cauzelor soluționate prin rechizitoriu. </w:t>
      </w:r>
    </w:p>
    <w:p w14:paraId="0777F43D" w14:textId="77777777" w:rsidR="00DC2253" w:rsidRPr="00DC2253"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 xml:space="preserve">Acest indicator este foarte important în privința rezultatelor DNA, care în 2020 nu a scăzut, iar în 2021 a atins o </w:t>
      </w:r>
      <w:r w:rsidRPr="00DC2253">
        <w:rPr>
          <w:rFonts w:ascii="Palatino Linotype" w:hAnsi="Palatino Linotype"/>
          <w:b/>
          <w:sz w:val="25"/>
          <w:szCs w:val="25"/>
          <w:lang w:val="ro-RO"/>
        </w:rPr>
        <w:t>creştere de 43%</w:t>
      </w:r>
      <w:r w:rsidR="000D0C4A">
        <w:rPr>
          <w:rFonts w:ascii="Palatino Linotype" w:hAnsi="Palatino Linotype"/>
          <w:sz w:val="25"/>
          <w:szCs w:val="25"/>
          <w:lang w:val="ro-RO"/>
        </w:rPr>
        <w:t xml:space="preserve"> faţă de anul anterior. </w:t>
      </w:r>
    </w:p>
    <w:p w14:paraId="1FE1883A" w14:textId="77777777" w:rsidR="00DC2253" w:rsidRPr="00DC2253"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 xml:space="preserve">Concentrarea procurorilor pentru consistenţa cercetărilor rezultă din tendinţa de creştere a numărului inculpaţilor trimişi în judecată, care în 2021 a depăşit numărul din 2019. </w:t>
      </w:r>
    </w:p>
    <w:p w14:paraId="2A33D829" w14:textId="77777777" w:rsidR="00102925"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 xml:space="preserve">În același timp, </w:t>
      </w:r>
      <w:r w:rsidRPr="00DC2253">
        <w:rPr>
          <w:rFonts w:ascii="Palatino Linotype" w:hAnsi="Palatino Linotype"/>
          <w:b/>
          <w:sz w:val="25"/>
          <w:szCs w:val="25"/>
          <w:lang w:val="ro-RO"/>
        </w:rPr>
        <w:t>volumul cauzelor soluționate prin clasare</w:t>
      </w:r>
      <w:r w:rsidRPr="00DC2253">
        <w:rPr>
          <w:rFonts w:ascii="Palatino Linotype" w:hAnsi="Palatino Linotype"/>
          <w:sz w:val="25"/>
          <w:szCs w:val="25"/>
          <w:lang w:val="ro-RO"/>
        </w:rPr>
        <w:t xml:space="preserve"> nu ține pasul cu referința anului 2019, iar această evaluare este relevantă pentru raportarea la principiul soluționării cauzelor într-u</w:t>
      </w:r>
      <w:r w:rsidR="000D0C4A">
        <w:rPr>
          <w:rFonts w:ascii="Palatino Linotype" w:hAnsi="Palatino Linotype"/>
          <w:sz w:val="25"/>
          <w:szCs w:val="25"/>
          <w:lang w:val="ro-RO"/>
        </w:rPr>
        <w:t xml:space="preserve">n termen rezonabil. </w:t>
      </w:r>
    </w:p>
    <w:p w14:paraId="21F8747D" w14:textId="77777777" w:rsidR="00102925" w:rsidRDefault="00102925" w:rsidP="00152A10">
      <w:pPr>
        <w:spacing w:after="120"/>
        <w:ind w:firstLine="900"/>
        <w:jc w:val="both"/>
        <w:rPr>
          <w:rFonts w:ascii="Palatino Linotype" w:hAnsi="Palatino Linotype"/>
          <w:sz w:val="25"/>
          <w:szCs w:val="25"/>
          <w:lang w:val="ro-RO"/>
        </w:rPr>
      </w:pPr>
      <w:r>
        <w:rPr>
          <w:rFonts w:ascii="Palatino Linotype" w:hAnsi="Palatino Linotype"/>
          <w:sz w:val="25"/>
          <w:szCs w:val="25"/>
          <w:lang w:val="ro-RO"/>
        </w:rPr>
        <w:lastRenderedPageBreak/>
        <w:t>În evaluare, trebuie să ținem cont că aplicarea dispozițiilor privind verificarea sesizăr</w:t>
      </w:r>
      <w:r w:rsidR="009D2640">
        <w:rPr>
          <w:rFonts w:ascii="Palatino Linotype" w:hAnsi="Palatino Linotype"/>
          <w:sz w:val="25"/>
          <w:szCs w:val="25"/>
          <w:lang w:val="ro-RO"/>
        </w:rPr>
        <w:t xml:space="preserve">ilor, conform art.294 C.pr.pen., susține menținerea într-o marjă constantă a totalului cauzelor de soluționat. </w:t>
      </w:r>
    </w:p>
    <w:p w14:paraId="53999FD9" w14:textId="77777777" w:rsidR="00DC2253" w:rsidRPr="00DC2253"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În mod realist, am în vedere că gradul de ocupare a posturilor diferă din 2018 (</w:t>
      </w:r>
      <w:r w:rsidRPr="00DC2253">
        <w:rPr>
          <w:rFonts w:ascii="Palatino Linotype" w:hAnsi="Palatino Linotype"/>
          <w:b/>
          <w:sz w:val="25"/>
          <w:szCs w:val="25"/>
          <w:lang w:val="ro-RO"/>
        </w:rPr>
        <w:t>85,37%)</w:t>
      </w:r>
      <w:r w:rsidRPr="00DC2253">
        <w:rPr>
          <w:rFonts w:ascii="Palatino Linotype" w:hAnsi="Palatino Linotype"/>
          <w:sz w:val="25"/>
          <w:szCs w:val="25"/>
          <w:lang w:val="ro-RO"/>
        </w:rPr>
        <w:t xml:space="preserve"> la 2021 (</w:t>
      </w:r>
      <w:r w:rsidRPr="00DC2253">
        <w:rPr>
          <w:rFonts w:ascii="Palatino Linotype" w:hAnsi="Palatino Linotype"/>
          <w:b/>
          <w:sz w:val="25"/>
          <w:szCs w:val="25"/>
          <w:lang w:val="ro-RO"/>
        </w:rPr>
        <w:t>79,48%),</w:t>
      </w:r>
      <w:r w:rsidRPr="00DC2253">
        <w:rPr>
          <w:rFonts w:ascii="Palatino Linotype" w:hAnsi="Palatino Linotype"/>
          <w:sz w:val="25"/>
          <w:szCs w:val="25"/>
          <w:lang w:val="ro-RO"/>
        </w:rPr>
        <w:t xml:space="preserve"> o scădere de </w:t>
      </w:r>
      <w:r w:rsidRPr="00DC2253">
        <w:rPr>
          <w:rFonts w:ascii="Palatino Linotype" w:hAnsi="Palatino Linotype"/>
          <w:b/>
          <w:sz w:val="25"/>
          <w:szCs w:val="25"/>
          <w:lang w:val="ro-RO"/>
        </w:rPr>
        <w:t>5,89</w:t>
      </w:r>
      <w:r w:rsidRPr="00DC2253">
        <w:rPr>
          <w:rFonts w:ascii="Palatino Linotype" w:hAnsi="Palatino Linotype"/>
          <w:sz w:val="25"/>
          <w:szCs w:val="25"/>
          <w:lang w:val="ro-RO"/>
        </w:rPr>
        <w:t>, dar indicatorul nu este unul alarmant la nivel de sistem, la acest moment. Indicatorul este însă critic prin raportare la unele circumscripţii (</w:t>
      </w:r>
      <w:r w:rsidR="00102925">
        <w:rPr>
          <w:rFonts w:ascii="Palatino Linotype" w:hAnsi="Palatino Linotype"/>
          <w:sz w:val="25"/>
          <w:szCs w:val="25"/>
          <w:lang w:val="ro-RO"/>
        </w:rPr>
        <w:t xml:space="preserve"> și exemplific cu </w:t>
      </w:r>
      <w:r w:rsidRPr="00DC2253">
        <w:rPr>
          <w:rFonts w:ascii="Palatino Linotype" w:hAnsi="Palatino Linotype"/>
          <w:sz w:val="25"/>
          <w:szCs w:val="25"/>
          <w:lang w:val="ro-RO"/>
        </w:rPr>
        <w:t>PT Bistriţa Năsăud, PT Brăila, PT Galaţi). Se adaugă influența lipsei de continuitate în soluționarea cauzelor, determinată de dinamica de resurse umane (promovări, transferuri, numi</w:t>
      </w:r>
      <w:r w:rsidR="000D0C4A">
        <w:rPr>
          <w:rFonts w:ascii="Palatino Linotype" w:hAnsi="Palatino Linotype"/>
          <w:sz w:val="25"/>
          <w:szCs w:val="25"/>
          <w:lang w:val="ro-RO"/>
        </w:rPr>
        <w:t>ri la parchetele specializate).</w:t>
      </w:r>
    </w:p>
    <w:p w14:paraId="479629C3" w14:textId="77777777" w:rsidR="00DC2253" w:rsidRPr="00DC2253"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 xml:space="preserve">În proiectul managerial, am inclus oportunitatea să se desemneze echipe de procurori pentru soluționarea cauzelor complexe, tocmai pentru a surmonta dificultăţile legate de gestionarea timpului, de cunoașterea </w:t>
      </w:r>
      <w:r w:rsidRPr="00DC2253">
        <w:rPr>
          <w:rFonts w:ascii="Palatino Linotype" w:hAnsi="Palatino Linotype"/>
          <w:b/>
          <w:sz w:val="25"/>
          <w:szCs w:val="25"/>
          <w:lang w:val="ro-RO"/>
        </w:rPr>
        <w:t>în evoluție</w:t>
      </w:r>
      <w:r w:rsidRPr="00DC2253">
        <w:rPr>
          <w:rFonts w:ascii="Palatino Linotype" w:hAnsi="Palatino Linotype"/>
          <w:sz w:val="25"/>
          <w:szCs w:val="25"/>
          <w:lang w:val="ro-RO"/>
        </w:rPr>
        <w:t xml:space="preserve"> a cauzelor. La DNA, de exemplu, gradul de înnoire a procurorilor este foarte ridicat, ceea ce – conjugat cu dosarele mai vechi – înseamnă o presiune importantă în privința operativității soluționării cauzelor. </w:t>
      </w:r>
    </w:p>
    <w:p w14:paraId="66CD0730" w14:textId="77777777" w:rsidR="00DC2253" w:rsidRPr="00DC2253"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O astfel de măsură este cu atât mai mult necesară în contextul declinării competenţei de la DNA şi DIICOT către parchetele de pe lângă tribunale, în urma deciziilor CCR nr.231/2021 şi nr.380/2021. Aceste cauze vin cu o vechime destul de mare, adăugându-s</w:t>
      </w:r>
      <w:r w:rsidR="009D2640">
        <w:rPr>
          <w:rFonts w:ascii="Palatino Linotype" w:hAnsi="Palatino Linotype"/>
          <w:sz w:val="25"/>
          <w:szCs w:val="25"/>
          <w:lang w:val="ro-RO"/>
        </w:rPr>
        <w:t>e cauzelor vechi deja existente și</w:t>
      </w:r>
      <w:r w:rsidRPr="00DC2253">
        <w:rPr>
          <w:rFonts w:ascii="Palatino Linotype" w:hAnsi="Palatino Linotype"/>
          <w:sz w:val="25"/>
          <w:szCs w:val="25"/>
          <w:lang w:val="ro-RO"/>
        </w:rPr>
        <w:t xml:space="preserve"> măsurile de prioritizare trebuie să constituie preocuparea conducătorilor parchetelor şi a poliţiei judiciare. </w:t>
      </w:r>
    </w:p>
    <w:p w14:paraId="6299A51C" w14:textId="77777777" w:rsidR="00DC2253" w:rsidRPr="000D0C4A"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 xml:space="preserve">Interpretarea datelor privind </w:t>
      </w:r>
      <w:r w:rsidRPr="009D2640">
        <w:rPr>
          <w:rFonts w:ascii="Palatino Linotype" w:hAnsi="Palatino Linotype"/>
          <w:b/>
          <w:sz w:val="25"/>
          <w:szCs w:val="25"/>
          <w:lang w:val="ro-RO"/>
        </w:rPr>
        <w:t>durata de soluţionare</w:t>
      </w:r>
      <w:r w:rsidRPr="00DC2253">
        <w:rPr>
          <w:rFonts w:ascii="Palatino Linotype" w:hAnsi="Palatino Linotype"/>
          <w:sz w:val="25"/>
          <w:szCs w:val="25"/>
          <w:lang w:val="ro-RO"/>
        </w:rPr>
        <w:t xml:space="preserve"> a cauzelor relevă că scăderea de 20% din 2020 nu a fost recuperată în 2021, recuperarea de 10.000 de cauze soluţionate până în 6 luni de la sesizare fiind nerelevantă din cauza celor peste 32.000 de cauze în plus din categoria „soluţiona</w:t>
      </w:r>
      <w:r w:rsidR="000D0C4A">
        <w:rPr>
          <w:rFonts w:ascii="Palatino Linotype" w:hAnsi="Palatino Linotype"/>
          <w:sz w:val="25"/>
          <w:szCs w:val="25"/>
          <w:lang w:val="ro-RO"/>
        </w:rPr>
        <w:t xml:space="preserve">te peste 1 an de la sesizare”. </w:t>
      </w:r>
    </w:p>
    <w:p w14:paraId="3B6019DC" w14:textId="77777777" w:rsidR="00DC2253" w:rsidRDefault="00DC2253" w:rsidP="00152A10">
      <w:pPr>
        <w:spacing w:after="120"/>
        <w:ind w:firstLine="900"/>
        <w:jc w:val="both"/>
        <w:rPr>
          <w:rFonts w:ascii="Palatino Linotype" w:hAnsi="Palatino Linotype"/>
          <w:sz w:val="25"/>
          <w:szCs w:val="25"/>
          <w:lang w:val="ro-RO"/>
        </w:rPr>
      </w:pPr>
      <w:r w:rsidRPr="00DC2253">
        <w:rPr>
          <w:rFonts w:ascii="Palatino Linotype" w:hAnsi="Palatino Linotype"/>
          <w:sz w:val="25"/>
          <w:szCs w:val="25"/>
          <w:lang w:val="ro-RO"/>
        </w:rPr>
        <w:t>Corelativ,</w:t>
      </w:r>
      <w:r w:rsidRPr="00DC2253">
        <w:rPr>
          <w:rFonts w:ascii="Palatino Linotype" w:hAnsi="Palatino Linotype"/>
          <w:color w:val="FF0000"/>
          <w:sz w:val="25"/>
          <w:szCs w:val="25"/>
          <w:lang w:val="ro-RO"/>
        </w:rPr>
        <w:t xml:space="preserve"> </w:t>
      </w:r>
      <w:r w:rsidRPr="00DC2253">
        <w:rPr>
          <w:rFonts w:ascii="Palatino Linotype" w:hAnsi="Palatino Linotype"/>
          <w:sz w:val="25"/>
          <w:szCs w:val="25"/>
          <w:lang w:val="ro-RO"/>
        </w:rPr>
        <w:t xml:space="preserve">observăm că din creşterea cauzelor mai vechi de 1 an rămase în lucru (2020/2019, 21,77%) nu s-a recuperat deloc în 2021. </w:t>
      </w:r>
    </w:p>
    <w:p w14:paraId="70CCDBF8" w14:textId="77777777" w:rsidR="009D2640" w:rsidRPr="00DC2253" w:rsidRDefault="009D2640" w:rsidP="00152A10">
      <w:pPr>
        <w:spacing w:after="120"/>
        <w:ind w:firstLine="900"/>
        <w:jc w:val="both"/>
        <w:rPr>
          <w:rFonts w:ascii="Palatino Linotype" w:hAnsi="Palatino Linotype"/>
          <w:sz w:val="25"/>
          <w:szCs w:val="25"/>
          <w:lang w:val="ro-RO"/>
        </w:rPr>
      </w:pPr>
      <w:r>
        <w:rPr>
          <w:rFonts w:ascii="Palatino Linotype" w:hAnsi="Palatino Linotype"/>
          <w:sz w:val="25"/>
          <w:szCs w:val="25"/>
          <w:lang w:val="ro-RO"/>
        </w:rPr>
        <w:t xml:space="preserve">Eforturile noastre trebuie să crească, pentru îmbunătățirea acestui indicator. Într-o exprimare simplistă, să vedem că parcările din apropierea sediilor noastre rămân ocupate dincolo de ora 16, mai ales că activitățile procedurale fixate pentru procuror prin noul Cod de procedură penală sunt mai puțin consumatoare de timp decât în concepția vechiului cod. </w:t>
      </w:r>
    </w:p>
    <w:p w14:paraId="7E1FAB22" w14:textId="77777777" w:rsidR="00DC2253" w:rsidRPr="00DC2253" w:rsidRDefault="00DC2253" w:rsidP="00152A10">
      <w:pPr>
        <w:spacing w:after="120"/>
        <w:ind w:firstLine="709"/>
        <w:jc w:val="both"/>
        <w:rPr>
          <w:rFonts w:ascii="Palatino Linotype" w:hAnsi="Palatino Linotype"/>
          <w:sz w:val="25"/>
          <w:szCs w:val="25"/>
          <w:lang w:val="ro-RO"/>
        </w:rPr>
      </w:pPr>
      <w:r w:rsidRPr="00DC2253">
        <w:rPr>
          <w:rFonts w:ascii="Palatino Linotype" w:hAnsi="Palatino Linotype"/>
          <w:sz w:val="25"/>
          <w:szCs w:val="25"/>
          <w:lang w:val="ro-RO"/>
        </w:rPr>
        <w:t xml:space="preserve">Întrucât marea majoritate a cauzelor se plasează la nivelul de competenţă al judecătoriei, nivelul de complexitate mediu nu este unul ridicat. Din memoriile şi plângerile adresate de cetăţeni procurorului general, se desprinde faptul că există întârzieri semnificative în efectuarea urmăririi penale. Care este eficienţa supravegherii urmăririi penale? Vom propune Inspecţiei Judiciare ca principalul domeniu de control la parchete în anul 2023 să fie modalitatea de supraveghere a cercetărilor, în cauzele rămase în lucru mai </w:t>
      </w:r>
      <w:r w:rsidR="009D2640">
        <w:rPr>
          <w:rFonts w:ascii="Palatino Linotype" w:hAnsi="Palatino Linotype"/>
          <w:sz w:val="25"/>
          <w:szCs w:val="25"/>
          <w:lang w:val="ro-RO"/>
        </w:rPr>
        <w:t>vechi de 1 an de la sesizare, corespunzător parchetelor</w:t>
      </w:r>
      <w:r w:rsidRPr="00DC2253">
        <w:rPr>
          <w:rFonts w:ascii="Palatino Linotype" w:hAnsi="Palatino Linotype"/>
          <w:sz w:val="25"/>
          <w:szCs w:val="25"/>
          <w:lang w:val="ro-RO"/>
        </w:rPr>
        <w:t xml:space="preserve"> de pe lângă judecătorii. </w:t>
      </w:r>
    </w:p>
    <w:p w14:paraId="1FF522E0" w14:textId="77777777" w:rsidR="00DC2253" w:rsidRPr="00152A10" w:rsidRDefault="00DC2253" w:rsidP="00152A10">
      <w:pPr>
        <w:shd w:val="clear" w:color="auto" w:fill="DEEAF6" w:themeFill="accent1" w:themeFillTint="33"/>
        <w:spacing w:after="120"/>
        <w:ind w:firstLine="709"/>
        <w:jc w:val="both"/>
        <w:rPr>
          <w:rFonts w:ascii="Palatino Linotype" w:hAnsi="Palatino Linotype"/>
          <w:b/>
          <w:sz w:val="25"/>
          <w:szCs w:val="25"/>
          <w:lang w:val="ro-RO"/>
        </w:rPr>
      </w:pPr>
      <w:r w:rsidRPr="009D2640">
        <w:rPr>
          <w:rFonts w:ascii="Palatino Linotype" w:hAnsi="Palatino Linotype"/>
          <w:b/>
          <w:sz w:val="25"/>
          <w:szCs w:val="25"/>
          <w:lang w:val="ro-RO"/>
        </w:rPr>
        <w:lastRenderedPageBreak/>
        <w:t>Rezultatele  înreg</w:t>
      </w:r>
      <w:r w:rsidR="00152A10">
        <w:rPr>
          <w:rFonts w:ascii="Palatino Linotype" w:hAnsi="Palatino Linotype"/>
          <w:b/>
          <w:sz w:val="25"/>
          <w:szCs w:val="25"/>
          <w:lang w:val="ro-RO"/>
        </w:rPr>
        <w:t>istrate în domeniile prioritare</w:t>
      </w:r>
    </w:p>
    <w:p w14:paraId="1A47B807" w14:textId="77777777" w:rsidR="00152A10" w:rsidRDefault="00152A10" w:rsidP="00152A10">
      <w:pPr>
        <w:spacing w:after="120"/>
        <w:ind w:firstLine="709"/>
        <w:jc w:val="both"/>
        <w:rPr>
          <w:rFonts w:ascii="Palatino Linotype" w:hAnsi="Palatino Linotype"/>
          <w:sz w:val="25"/>
          <w:szCs w:val="25"/>
          <w:lang w:val="ro-RO"/>
        </w:rPr>
      </w:pPr>
    </w:p>
    <w:p w14:paraId="4C6BB76A" w14:textId="77777777" w:rsidR="00DC2253" w:rsidRPr="00DC2253" w:rsidRDefault="00DC2253" w:rsidP="00152A10">
      <w:pPr>
        <w:spacing w:after="120"/>
        <w:ind w:firstLine="709"/>
        <w:jc w:val="both"/>
        <w:rPr>
          <w:rFonts w:ascii="Palatino Linotype" w:hAnsi="Palatino Linotype"/>
          <w:sz w:val="25"/>
          <w:szCs w:val="25"/>
          <w:lang w:val="ro-RO"/>
        </w:rPr>
      </w:pPr>
      <w:r w:rsidRPr="00DC2253">
        <w:rPr>
          <w:rFonts w:ascii="Palatino Linotype" w:hAnsi="Palatino Linotype"/>
          <w:sz w:val="25"/>
          <w:szCs w:val="25"/>
          <w:lang w:val="ro-RO"/>
        </w:rPr>
        <w:t xml:space="preserve">Priorităţile enunţate în rapoartele de activitate pentru anii 2019, 2020, 2021 au rămas constante, în cea mai mare parte: </w:t>
      </w:r>
    </w:p>
    <w:p w14:paraId="5B68334D" w14:textId="77777777" w:rsidR="00DC2253" w:rsidRPr="00DC2253" w:rsidRDefault="00DC2253" w:rsidP="00152A10">
      <w:pPr>
        <w:ind w:firstLine="706"/>
        <w:jc w:val="both"/>
        <w:rPr>
          <w:rFonts w:ascii="Palatino Linotype" w:hAnsi="Palatino Linotype"/>
          <w:sz w:val="25"/>
          <w:szCs w:val="25"/>
          <w:lang w:val="ro-RO"/>
        </w:rPr>
      </w:pPr>
      <w:r w:rsidRPr="00DC2253">
        <w:rPr>
          <w:rFonts w:ascii="Palatino Linotype" w:hAnsi="Palatino Linotype"/>
          <w:sz w:val="25"/>
          <w:szCs w:val="25"/>
          <w:lang w:val="ro-RO"/>
        </w:rPr>
        <w:t>- Mecanismul de Cooperare și Verificare, statul de drept;</w:t>
      </w:r>
    </w:p>
    <w:p w14:paraId="4784E9FD" w14:textId="77777777" w:rsidR="00DC2253" w:rsidRPr="00DC2253" w:rsidRDefault="00DC2253" w:rsidP="00152A10">
      <w:pPr>
        <w:ind w:firstLine="706"/>
        <w:jc w:val="both"/>
        <w:rPr>
          <w:rFonts w:ascii="Palatino Linotype" w:hAnsi="Palatino Linotype"/>
          <w:sz w:val="25"/>
          <w:szCs w:val="25"/>
          <w:lang w:val="ro-RO"/>
        </w:rPr>
      </w:pPr>
      <w:r w:rsidRPr="00DC2253">
        <w:rPr>
          <w:rFonts w:ascii="Palatino Linotype" w:hAnsi="Palatino Linotype"/>
          <w:sz w:val="25"/>
          <w:szCs w:val="25"/>
          <w:lang w:val="ro-RO"/>
        </w:rPr>
        <w:t>- consolidarea progreselor - corupție, evaziune fiscală, spălarea banilor, recuperarea prejudiciilor;</w:t>
      </w:r>
    </w:p>
    <w:p w14:paraId="511160A8" w14:textId="77777777" w:rsidR="00DC2253" w:rsidRPr="00DC2253" w:rsidRDefault="00DC2253" w:rsidP="00152A10">
      <w:pPr>
        <w:ind w:firstLine="706"/>
        <w:jc w:val="both"/>
        <w:rPr>
          <w:rFonts w:ascii="Palatino Linotype" w:hAnsi="Palatino Linotype"/>
          <w:sz w:val="25"/>
          <w:szCs w:val="25"/>
          <w:lang w:val="ro-RO"/>
        </w:rPr>
      </w:pPr>
      <w:r w:rsidRPr="00DC2253">
        <w:rPr>
          <w:rFonts w:ascii="Palatino Linotype" w:hAnsi="Palatino Linotype"/>
          <w:sz w:val="25"/>
          <w:szCs w:val="25"/>
          <w:lang w:val="ro-RO"/>
        </w:rPr>
        <w:t>- eficientizarea investigării – mediu, trafic de persoane, criminalitate organizată;</w:t>
      </w:r>
    </w:p>
    <w:p w14:paraId="22B5ED64" w14:textId="77777777" w:rsidR="00DC2253" w:rsidRPr="00DC2253" w:rsidRDefault="00DC2253" w:rsidP="00152A10">
      <w:pPr>
        <w:ind w:firstLine="706"/>
        <w:jc w:val="both"/>
        <w:rPr>
          <w:rFonts w:ascii="Palatino Linotype" w:hAnsi="Palatino Linotype"/>
          <w:sz w:val="25"/>
          <w:szCs w:val="25"/>
          <w:lang w:val="ro-RO"/>
        </w:rPr>
      </w:pPr>
      <w:r w:rsidRPr="00DC2253">
        <w:rPr>
          <w:rFonts w:ascii="Palatino Linotype" w:hAnsi="Palatino Linotype"/>
          <w:sz w:val="25"/>
          <w:szCs w:val="25"/>
          <w:lang w:val="ro-RO"/>
        </w:rPr>
        <w:t xml:space="preserve">- protecția victimelor – violență domestică, minori, discriminare. </w:t>
      </w:r>
    </w:p>
    <w:p w14:paraId="3860DF6F" w14:textId="77777777" w:rsidR="00DC2253" w:rsidRPr="00DC2253" w:rsidRDefault="00DC2253" w:rsidP="00152A10">
      <w:pPr>
        <w:spacing w:after="120"/>
        <w:ind w:firstLine="709"/>
        <w:jc w:val="both"/>
        <w:rPr>
          <w:rFonts w:ascii="Palatino Linotype" w:hAnsi="Palatino Linotype"/>
          <w:sz w:val="25"/>
          <w:szCs w:val="25"/>
          <w:lang w:val="ro-RO"/>
        </w:rPr>
      </w:pPr>
      <w:r w:rsidRPr="00DC2253">
        <w:rPr>
          <w:rFonts w:ascii="Palatino Linotype" w:hAnsi="Palatino Linotype"/>
          <w:sz w:val="25"/>
          <w:szCs w:val="25"/>
          <w:lang w:val="ro-RO"/>
        </w:rPr>
        <w:t>Aceste obiective au fost avute în vedere atât în ceea ce priveşte rezultatul cercetărilor, dar şi sub dimensiune procedurală: operativitate, drepturile părţilor în procedură, recuperarea prejudiciilor şi dispunerea măsurilor asigurătorii, îmbunătăţirea activităţii manageriale a procuro</w:t>
      </w:r>
      <w:r w:rsidR="000D0C4A">
        <w:rPr>
          <w:rFonts w:ascii="Palatino Linotype" w:hAnsi="Palatino Linotype"/>
          <w:sz w:val="25"/>
          <w:szCs w:val="25"/>
          <w:lang w:val="ro-RO"/>
        </w:rPr>
        <w:t xml:space="preserve">rilor cu funcţii de conducere. </w:t>
      </w:r>
    </w:p>
    <w:p w14:paraId="77687173" w14:textId="77777777" w:rsidR="00DC2253" w:rsidRPr="00DC2253" w:rsidRDefault="00DC2253" w:rsidP="00152A10">
      <w:pPr>
        <w:spacing w:after="120"/>
        <w:ind w:firstLine="709"/>
        <w:jc w:val="both"/>
        <w:rPr>
          <w:rFonts w:ascii="Palatino Linotype" w:hAnsi="Palatino Linotype"/>
          <w:sz w:val="25"/>
          <w:szCs w:val="25"/>
          <w:lang w:val="ro-RO"/>
        </w:rPr>
      </w:pPr>
      <w:r w:rsidRPr="00DC2253">
        <w:rPr>
          <w:rFonts w:ascii="Palatino Linotype" w:hAnsi="Palatino Linotype"/>
          <w:sz w:val="25"/>
          <w:szCs w:val="25"/>
          <w:lang w:val="ro-RO"/>
        </w:rPr>
        <w:t xml:space="preserve">În privința sistemului de justiție din România, în </w:t>
      </w:r>
      <w:r w:rsidRPr="00DC2253">
        <w:rPr>
          <w:rFonts w:ascii="Palatino Linotype" w:hAnsi="Palatino Linotype"/>
          <w:bCs/>
          <w:i/>
          <w:sz w:val="25"/>
          <w:szCs w:val="25"/>
          <w:lang w:val="ro-RO"/>
        </w:rPr>
        <w:t>Raportul din 2021 privind statul de drept</w:t>
      </w:r>
      <w:r w:rsidRPr="00DC2253">
        <w:rPr>
          <w:rFonts w:ascii="Palatino Linotype" w:hAnsi="Palatino Linotype"/>
          <w:b/>
          <w:bCs/>
          <w:sz w:val="25"/>
          <w:szCs w:val="25"/>
          <w:lang w:val="ro-RO"/>
        </w:rPr>
        <w:t xml:space="preserve"> </w:t>
      </w:r>
      <w:r w:rsidRPr="00DC2253">
        <w:rPr>
          <w:rFonts w:ascii="Palatino Linotype" w:hAnsi="Palatino Linotype"/>
          <w:sz w:val="25"/>
          <w:szCs w:val="25"/>
          <w:lang w:val="ro-RO"/>
        </w:rPr>
        <w:t xml:space="preserve">publicat la 20 iulie 2021, s-a reținut că  eficacitatea investigării și sancționării cazurilor de corupție la nivel mediu și înalt s-a îmbunătățit, confirmând bilanțul anterior. Direcția Națională Anticorupție a obținut rezultate mai bune, deși modificările aduse legilor justiției în perioada 2017-2019 continuă să reprezinte un obstacol major în calea bunei sale funcționări, astfel că este în continuare necesar să se modifice codurile. Vor exista obstacole tot mai mari și insecuritate juridică în lupta anticorupție dacă nu se vor găsi soluții legislative și strategice solide pentru deciziile Curții Constituționale. </w:t>
      </w:r>
    </w:p>
    <w:p w14:paraId="7CD53798" w14:textId="77777777" w:rsidR="00DC2253" w:rsidRPr="00DC2253" w:rsidRDefault="00DC2253" w:rsidP="00152A10">
      <w:pPr>
        <w:spacing w:after="120"/>
        <w:ind w:firstLine="709"/>
        <w:jc w:val="both"/>
        <w:rPr>
          <w:rFonts w:ascii="Palatino Linotype" w:hAnsi="Palatino Linotype"/>
          <w:sz w:val="25"/>
          <w:szCs w:val="25"/>
          <w:lang w:val="ro-RO"/>
        </w:rPr>
      </w:pPr>
      <w:r w:rsidRPr="00DC2253">
        <w:rPr>
          <w:rFonts w:ascii="Palatino Linotype" w:hAnsi="Palatino Linotype"/>
          <w:sz w:val="25"/>
          <w:szCs w:val="25"/>
          <w:lang w:val="ro-RO"/>
        </w:rPr>
        <w:t>În decembrie 2021 a început elaborarea contribuției pentru al treilea raport, referitor la anul 2021, scrisoarea Parchetului de pe lângă Înalta Curte de Casație și Justiție fiind transmisă în prima săptămână a lunii ianuarie 2022.</w:t>
      </w:r>
    </w:p>
    <w:p w14:paraId="1AC2B4F0" w14:textId="77777777" w:rsidR="00DC2253" w:rsidRPr="00DC2253" w:rsidRDefault="00DC2253" w:rsidP="00152A10">
      <w:pPr>
        <w:spacing w:after="120"/>
        <w:ind w:firstLine="709"/>
        <w:jc w:val="both"/>
        <w:rPr>
          <w:rFonts w:ascii="Palatino Linotype" w:hAnsi="Palatino Linotype"/>
          <w:sz w:val="25"/>
          <w:szCs w:val="25"/>
          <w:lang w:val="ro-RO"/>
        </w:rPr>
      </w:pPr>
      <w:r w:rsidRPr="00DC2253">
        <w:rPr>
          <w:rFonts w:ascii="Palatino Linotype" w:hAnsi="Palatino Linotype"/>
          <w:sz w:val="25"/>
          <w:szCs w:val="25"/>
          <w:lang w:val="ro-RO"/>
        </w:rPr>
        <w:t xml:space="preserve">Din datele privind infracţiunile de corupţie, rezultă o curbă repetată de creştere/ scădere a numărului persoanelor trimise în judecată, dar în 2021 numărul persoanelor trimise în judecată de DNA a crescut, astfel încât la parchetele nespecializate se localizează o </w:t>
      </w:r>
      <w:r w:rsidRPr="000C7A5F">
        <w:rPr>
          <w:rFonts w:ascii="Palatino Linotype" w:hAnsi="Palatino Linotype"/>
          <w:b/>
          <w:sz w:val="25"/>
          <w:szCs w:val="25"/>
          <w:lang w:val="ro-RO"/>
        </w:rPr>
        <w:t>scădere semnificativă</w:t>
      </w:r>
      <w:r w:rsidRPr="00DC2253">
        <w:rPr>
          <w:rFonts w:ascii="Palatino Linotype" w:hAnsi="Palatino Linotype"/>
          <w:sz w:val="25"/>
          <w:szCs w:val="25"/>
          <w:lang w:val="ro-RO"/>
        </w:rPr>
        <w:t xml:space="preserve"> a activităţii. </w:t>
      </w:r>
    </w:p>
    <w:p w14:paraId="3AA41243" w14:textId="77777777" w:rsidR="00DC2253" w:rsidRPr="00DC2253" w:rsidRDefault="00DC2253" w:rsidP="00152A10">
      <w:pPr>
        <w:spacing w:after="120"/>
        <w:ind w:firstLine="709"/>
        <w:jc w:val="both"/>
        <w:rPr>
          <w:rFonts w:ascii="Palatino Linotype" w:hAnsi="Palatino Linotype"/>
          <w:sz w:val="25"/>
          <w:szCs w:val="25"/>
          <w:lang w:val="ro-RO"/>
        </w:rPr>
      </w:pPr>
      <w:r w:rsidRPr="00DC2253">
        <w:rPr>
          <w:rFonts w:ascii="Palatino Linotype" w:hAnsi="Palatino Linotype"/>
          <w:sz w:val="25"/>
          <w:szCs w:val="25"/>
          <w:lang w:val="ro-RO"/>
        </w:rPr>
        <w:t>La nivelul circumscripţiilor se impune analiza ponderii sesizărilor din oficiu, a relevanţei sesizărilor adresate de autorităţile publice, aşadar mai mult aspecte procedurale, în completarea analizelor pe care le realizează periodic PÎCCJ asupra rezultatelor în</w:t>
      </w:r>
      <w:r w:rsidR="000D0C4A">
        <w:rPr>
          <w:rFonts w:ascii="Palatino Linotype" w:hAnsi="Palatino Linotype"/>
          <w:sz w:val="25"/>
          <w:szCs w:val="25"/>
          <w:lang w:val="ro-RO"/>
        </w:rPr>
        <w:t xml:space="preserve"> combaterea corupţiei. </w:t>
      </w:r>
    </w:p>
    <w:p w14:paraId="435D5B39" w14:textId="77777777" w:rsidR="00DC2253" w:rsidRPr="00DC2253" w:rsidRDefault="00DC2253" w:rsidP="00152A10">
      <w:pPr>
        <w:spacing w:after="120"/>
        <w:ind w:firstLine="709"/>
        <w:jc w:val="both"/>
        <w:rPr>
          <w:rFonts w:ascii="Palatino Linotype" w:hAnsi="Palatino Linotype"/>
          <w:sz w:val="25"/>
          <w:szCs w:val="25"/>
          <w:lang w:val="ro-RO"/>
        </w:rPr>
      </w:pPr>
      <w:r w:rsidRPr="00DC2253">
        <w:rPr>
          <w:rFonts w:ascii="Palatino Linotype" w:hAnsi="Palatino Linotype"/>
          <w:sz w:val="25"/>
          <w:szCs w:val="25"/>
          <w:lang w:val="ro-RO"/>
        </w:rPr>
        <w:t xml:space="preserve">Infracţiunile de abuz în serviciu dacă s-a obţinut un folos (art.13 ind.2 Legea nr.78/2000) – în cazurile în care nu este atrasă competenţa DNA – revin parchetelor de pe lângă judecătorii, în regim de urmărire penală proprie. </w:t>
      </w:r>
    </w:p>
    <w:p w14:paraId="6F816D1A" w14:textId="77777777" w:rsidR="00DC2253" w:rsidRPr="000D0C4A" w:rsidRDefault="00DC2253" w:rsidP="00152A10">
      <w:pPr>
        <w:spacing w:after="120"/>
        <w:ind w:firstLine="709"/>
        <w:jc w:val="both"/>
        <w:rPr>
          <w:rFonts w:ascii="Palatino Linotype" w:hAnsi="Palatino Linotype"/>
          <w:sz w:val="25"/>
          <w:szCs w:val="25"/>
          <w:lang w:val="ro-RO"/>
        </w:rPr>
      </w:pPr>
      <w:r w:rsidRPr="00DC2253">
        <w:rPr>
          <w:rFonts w:ascii="Palatino Linotype" w:hAnsi="Palatino Linotype"/>
          <w:sz w:val="25"/>
          <w:szCs w:val="25"/>
          <w:lang w:val="ro-RO"/>
        </w:rPr>
        <w:t xml:space="preserve">Este evident că sesizări există, iar operativitatea este redusă, însă impactul acestei categorii de infracţiuni trebuie clarificat cu celeritate, fiind afectate </w:t>
      </w:r>
      <w:r w:rsidR="000D0C4A">
        <w:rPr>
          <w:rFonts w:ascii="Palatino Linotype" w:hAnsi="Palatino Linotype"/>
          <w:sz w:val="25"/>
          <w:szCs w:val="25"/>
          <w:lang w:val="ro-RO"/>
        </w:rPr>
        <w:t xml:space="preserve">fonduri publice şi comunităţi. </w:t>
      </w:r>
    </w:p>
    <w:p w14:paraId="53435EA7" w14:textId="77777777" w:rsidR="00152A10" w:rsidRDefault="00152A10" w:rsidP="00152A10">
      <w:pPr>
        <w:spacing w:after="120"/>
        <w:ind w:firstLine="709"/>
        <w:jc w:val="both"/>
        <w:rPr>
          <w:rFonts w:ascii="Palatino Linotype" w:hAnsi="Palatino Linotype"/>
          <w:sz w:val="25"/>
          <w:szCs w:val="25"/>
          <w:lang w:val="ro-RO"/>
        </w:rPr>
      </w:pPr>
      <w:r>
        <w:rPr>
          <w:rFonts w:ascii="Palatino Linotype" w:hAnsi="Palatino Linotype"/>
          <w:sz w:val="25"/>
          <w:szCs w:val="25"/>
          <w:lang w:val="ro-RO"/>
        </w:rPr>
        <w:lastRenderedPageBreak/>
        <w:t xml:space="preserve">Din 2021, în arhitectura judiciară a apărut Parchetul European, pentru procedurile căruia pot să vă împărtășesc că a fost o contribuție importantă din partea României, prin experții care au participat la negocierea actului legislativ. Din punct de vedere profesional, aspir către posibilitatea folosirii de către procurorii MP a unui sistem de management al cauzelor de tipul celui folosit de EPPO. Discuțiile noastre cu CSM despre îmbunătățirea instrumentelor de evidență reconfirmă că Poliția română trebuie să fie parte în demersurile de digitalizare pentru activitatea de urmărire penală. </w:t>
      </w:r>
    </w:p>
    <w:p w14:paraId="5A930F33" w14:textId="77777777" w:rsidR="00DC2253" w:rsidRPr="000D0C4A" w:rsidRDefault="00DC2253" w:rsidP="00152A10">
      <w:pPr>
        <w:spacing w:after="120"/>
        <w:ind w:firstLine="709"/>
        <w:jc w:val="both"/>
        <w:rPr>
          <w:rFonts w:ascii="Palatino Linotype" w:hAnsi="Palatino Linotype"/>
          <w:sz w:val="25"/>
          <w:szCs w:val="25"/>
          <w:lang w:val="ro-RO"/>
        </w:rPr>
      </w:pPr>
      <w:r w:rsidRPr="008E3958">
        <w:rPr>
          <w:rFonts w:ascii="Palatino Linotype" w:hAnsi="Palatino Linotype"/>
          <w:sz w:val="25"/>
          <w:szCs w:val="25"/>
          <w:lang w:val="ro-RO"/>
        </w:rPr>
        <w:t>Inspecţia judiciară a efectuat, sub aspectul domeniilor prioritare, controlul privind luarea măsurilor asigurătorii, în cauzele în care aceasta este obligatorie, aprobat prin Hotărârea Secţiei pentru proc</w:t>
      </w:r>
      <w:r w:rsidR="000D0C4A">
        <w:rPr>
          <w:rFonts w:ascii="Palatino Linotype" w:hAnsi="Palatino Linotype"/>
          <w:sz w:val="25"/>
          <w:szCs w:val="25"/>
          <w:lang w:val="ro-RO"/>
        </w:rPr>
        <w:t xml:space="preserve">urori a CSM nr.917/05.10.2021. </w:t>
      </w:r>
    </w:p>
    <w:p w14:paraId="56BAEBE5" w14:textId="77777777" w:rsidR="00DC2253" w:rsidRPr="008E3958" w:rsidRDefault="00DC2253" w:rsidP="00152A10">
      <w:pPr>
        <w:spacing w:after="120"/>
        <w:ind w:firstLine="708"/>
        <w:jc w:val="both"/>
        <w:rPr>
          <w:rFonts w:ascii="Palatino Linotype" w:hAnsi="Palatino Linotype"/>
          <w:sz w:val="24"/>
          <w:szCs w:val="24"/>
          <w:lang w:val="ro-RO" w:eastAsia="en-GB"/>
        </w:rPr>
      </w:pPr>
      <w:r w:rsidRPr="008E3958">
        <w:rPr>
          <w:rFonts w:ascii="Palatino Linotype" w:hAnsi="Palatino Linotype"/>
          <w:sz w:val="25"/>
          <w:szCs w:val="25"/>
          <w:lang w:val="ro-RO"/>
        </w:rPr>
        <w:t xml:space="preserve">Rezultă din analiza noastră zone în care </w:t>
      </w:r>
      <w:r w:rsidRPr="000C7A5F">
        <w:rPr>
          <w:rFonts w:ascii="Palatino Linotype" w:hAnsi="Palatino Linotype"/>
          <w:b/>
          <w:sz w:val="25"/>
          <w:szCs w:val="25"/>
          <w:lang w:val="ro-RO"/>
        </w:rPr>
        <w:t>factori obiectivi</w:t>
      </w:r>
      <w:r w:rsidRPr="008E3958">
        <w:rPr>
          <w:rFonts w:ascii="Palatino Linotype" w:hAnsi="Palatino Linotype"/>
          <w:sz w:val="25"/>
          <w:szCs w:val="25"/>
          <w:lang w:val="ro-RO"/>
        </w:rPr>
        <w:t xml:space="preserve"> afectează rezultatele MP. </w:t>
      </w:r>
      <w:r w:rsidRPr="008E3958">
        <w:rPr>
          <w:rFonts w:ascii="Palatino Linotype" w:hAnsi="Palatino Linotype"/>
          <w:sz w:val="24"/>
          <w:szCs w:val="24"/>
          <w:lang w:val="ro-RO" w:eastAsia="en-GB"/>
        </w:rPr>
        <w:t xml:space="preserve">Sesizărille pentru infracţiunea de evaziune fiscală, formulate de ANAF sunt precedate de o inspecţie fiscală sau altă activitate de control, în care se descoperă indiciile faptelor ilicite, determinând practic ca anul în care are loc sesizarea să fie în foarte puţine cazuri anul în care s-a comis infracţiunea. Aceste infracţiuni presupun un probatoriu bazat pe lucrări de specialitate (rapoarte de constatare şi/ sau expertize), ceea ce influenţează </w:t>
      </w:r>
      <w:r w:rsidRPr="008E3958">
        <w:rPr>
          <w:rFonts w:ascii="Palatino Linotype" w:hAnsi="Palatino Linotype"/>
          <w:b/>
          <w:sz w:val="24"/>
          <w:szCs w:val="24"/>
          <w:lang w:val="ro-RO" w:eastAsia="en-GB"/>
        </w:rPr>
        <w:t>durata de soluţionare</w:t>
      </w:r>
      <w:r w:rsidRPr="008E3958">
        <w:rPr>
          <w:rFonts w:ascii="Palatino Linotype" w:hAnsi="Palatino Linotype"/>
          <w:sz w:val="24"/>
          <w:szCs w:val="24"/>
          <w:lang w:val="ro-RO" w:eastAsia="en-GB"/>
        </w:rPr>
        <w:t xml:space="preserve">. </w:t>
      </w:r>
    </w:p>
    <w:p w14:paraId="5BF89E42" w14:textId="77777777" w:rsidR="00DC2253" w:rsidRPr="009C617D" w:rsidRDefault="00542D8F" w:rsidP="00152A10">
      <w:pPr>
        <w:spacing w:after="120"/>
        <w:ind w:firstLine="708"/>
        <w:jc w:val="both"/>
        <w:rPr>
          <w:rFonts w:ascii="Palatino Linotype" w:hAnsi="Palatino Linotype"/>
          <w:sz w:val="24"/>
          <w:szCs w:val="24"/>
          <w:lang w:val="ro-RO" w:eastAsia="en-GB"/>
        </w:rPr>
      </w:pPr>
      <w:r>
        <w:rPr>
          <w:rFonts w:ascii="Palatino Linotype" w:hAnsi="Palatino Linotype"/>
          <w:sz w:val="24"/>
          <w:szCs w:val="24"/>
          <w:lang w:val="ro-RO" w:eastAsia="en-GB"/>
        </w:rPr>
        <w:t>În acest an, vom efectua</w:t>
      </w:r>
      <w:r w:rsidR="00DC2253" w:rsidRPr="008E3958">
        <w:rPr>
          <w:rFonts w:ascii="Palatino Linotype" w:hAnsi="Palatino Linotype"/>
          <w:sz w:val="24"/>
          <w:szCs w:val="24"/>
          <w:lang w:val="ro-RO" w:eastAsia="en-GB"/>
        </w:rPr>
        <w:t xml:space="preserve"> </w:t>
      </w:r>
      <w:r w:rsidR="000C7A5F">
        <w:rPr>
          <w:rFonts w:ascii="Palatino Linotype" w:hAnsi="Palatino Linotype"/>
          <w:sz w:val="24"/>
          <w:szCs w:val="24"/>
          <w:lang w:val="ro-RO" w:eastAsia="en-GB"/>
        </w:rPr>
        <w:t xml:space="preserve">împreună cu conducerea IGPR </w:t>
      </w:r>
      <w:r w:rsidR="00DC2253" w:rsidRPr="008E3958">
        <w:rPr>
          <w:rFonts w:ascii="Palatino Linotype" w:hAnsi="Palatino Linotype"/>
          <w:sz w:val="24"/>
          <w:szCs w:val="24"/>
          <w:lang w:val="ro-RO" w:eastAsia="en-GB"/>
        </w:rPr>
        <w:t xml:space="preserve">analize la nivelul unor circumscripţii de parchet de pe lângă tribunal, pentru a stabili motivele absenţei totale </w:t>
      </w:r>
      <w:r w:rsidR="000C7A5F" w:rsidRPr="008E3958">
        <w:rPr>
          <w:rFonts w:ascii="Palatino Linotype" w:hAnsi="Palatino Linotype"/>
          <w:sz w:val="24"/>
          <w:szCs w:val="24"/>
          <w:lang w:val="ro-RO" w:eastAsia="en-GB"/>
        </w:rPr>
        <w:t>(sau cvasi-totale)</w:t>
      </w:r>
      <w:r w:rsidR="000C7A5F">
        <w:rPr>
          <w:rFonts w:ascii="Palatino Linotype" w:hAnsi="Palatino Linotype"/>
          <w:sz w:val="24"/>
          <w:szCs w:val="24"/>
          <w:lang w:val="ro-RO" w:eastAsia="en-GB"/>
        </w:rPr>
        <w:t xml:space="preserve"> </w:t>
      </w:r>
      <w:r w:rsidR="00DC2253" w:rsidRPr="008E3958">
        <w:rPr>
          <w:rFonts w:ascii="Palatino Linotype" w:hAnsi="Palatino Linotype"/>
          <w:sz w:val="24"/>
          <w:szCs w:val="24"/>
          <w:lang w:val="ro-RO" w:eastAsia="en-GB"/>
        </w:rPr>
        <w:t>a rechizitorii</w:t>
      </w:r>
      <w:r w:rsidR="000C7A5F">
        <w:rPr>
          <w:rFonts w:ascii="Palatino Linotype" w:hAnsi="Palatino Linotype"/>
          <w:sz w:val="24"/>
          <w:szCs w:val="24"/>
          <w:lang w:val="ro-RO" w:eastAsia="en-GB"/>
        </w:rPr>
        <w:t xml:space="preserve">lor </w:t>
      </w:r>
      <w:r>
        <w:rPr>
          <w:rFonts w:ascii="Palatino Linotype" w:hAnsi="Palatino Linotype"/>
          <w:sz w:val="24"/>
          <w:szCs w:val="24"/>
          <w:lang w:val="ro-RO" w:eastAsia="en-GB"/>
        </w:rPr>
        <w:t xml:space="preserve">pentru evaziune fiscală </w:t>
      </w:r>
      <w:r w:rsidR="000C7A5F">
        <w:rPr>
          <w:rFonts w:ascii="Palatino Linotype" w:hAnsi="Palatino Linotype"/>
          <w:sz w:val="24"/>
          <w:szCs w:val="24"/>
          <w:lang w:val="ro-RO" w:eastAsia="en-GB"/>
        </w:rPr>
        <w:t xml:space="preserve">sau </w:t>
      </w:r>
      <w:r>
        <w:rPr>
          <w:rFonts w:ascii="Palatino Linotype" w:hAnsi="Palatino Linotype"/>
          <w:sz w:val="24"/>
          <w:szCs w:val="24"/>
          <w:lang w:val="ro-RO" w:eastAsia="en-GB"/>
        </w:rPr>
        <w:t xml:space="preserve">a </w:t>
      </w:r>
      <w:r w:rsidR="000C7A5F">
        <w:rPr>
          <w:rFonts w:ascii="Palatino Linotype" w:hAnsi="Palatino Linotype"/>
          <w:sz w:val="24"/>
          <w:szCs w:val="24"/>
          <w:lang w:val="ro-RO" w:eastAsia="en-GB"/>
        </w:rPr>
        <w:t xml:space="preserve">acordurilor de recunoaștere a vinovăției. </w:t>
      </w:r>
    </w:p>
    <w:p w14:paraId="6BDC43A8" w14:textId="77777777" w:rsidR="00DC2253" w:rsidRPr="008E3958" w:rsidRDefault="00DC2253" w:rsidP="00152A10">
      <w:pPr>
        <w:spacing w:after="120"/>
        <w:ind w:firstLine="708"/>
        <w:jc w:val="both"/>
        <w:rPr>
          <w:rFonts w:ascii="Palatino Linotype" w:hAnsi="Palatino Linotype"/>
          <w:sz w:val="24"/>
          <w:szCs w:val="24"/>
          <w:lang w:val="ro-RO" w:eastAsia="en-GB"/>
        </w:rPr>
      </w:pPr>
      <w:r w:rsidRPr="008E3958">
        <w:rPr>
          <w:rFonts w:ascii="Palatino Linotype" w:hAnsi="Palatino Linotype"/>
          <w:sz w:val="24"/>
          <w:szCs w:val="24"/>
          <w:lang w:val="ro-RO" w:eastAsia="en-GB"/>
        </w:rPr>
        <w:t xml:space="preserve">În materia protecţiei victimelor infracţiunilor, pentru toate infracţiunile monitorizate rezultă creşterea numărului inculpaţilor trimişi în judecată, cu toate acestea efectul de prevenţie generală al pedepselor nu se produce. Practica parchetelor trebuie orientată înspre aplicarea de sancţiuni eficiente, în măsură să decurajeze comiterea unor astfel de infracţiuni. </w:t>
      </w:r>
    </w:p>
    <w:p w14:paraId="7C1C83A1" w14:textId="77777777" w:rsidR="00DC2253" w:rsidRPr="008E3958" w:rsidRDefault="00DC2253" w:rsidP="00152A10">
      <w:pPr>
        <w:spacing w:after="120"/>
        <w:ind w:firstLine="708"/>
        <w:jc w:val="both"/>
        <w:rPr>
          <w:rFonts w:ascii="Palatino Linotype" w:hAnsi="Palatino Linotype"/>
          <w:sz w:val="24"/>
          <w:szCs w:val="24"/>
          <w:lang w:val="ro-RO" w:eastAsia="en-GB"/>
        </w:rPr>
      </w:pPr>
      <w:r w:rsidRPr="008E3958">
        <w:rPr>
          <w:rFonts w:ascii="Palatino Linotype" w:hAnsi="Palatino Linotype"/>
          <w:sz w:val="24"/>
          <w:szCs w:val="24"/>
          <w:lang w:val="ro-RO" w:eastAsia="en-GB"/>
        </w:rPr>
        <w:t>În acelaşi timp, prin controale punctuale sau prin verificarea unor memorii adresate procurorului general şi în raport de care au fost formulate dispoziţii scrise, stabilirea unei practici uniforme şi predictibile a parchet</w:t>
      </w:r>
      <w:r w:rsidR="00115630">
        <w:rPr>
          <w:rFonts w:ascii="Palatino Linotype" w:hAnsi="Palatino Linotype"/>
          <w:sz w:val="24"/>
          <w:szCs w:val="24"/>
          <w:lang w:val="ro-RO" w:eastAsia="en-GB"/>
        </w:rPr>
        <w:t>e</w:t>
      </w:r>
      <w:r w:rsidRPr="008E3958">
        <w:rPr>
          <w:rFonts w:ascii="Palatino Linotype" w:hAnsi="Palatino Linotype"/>
          <w:sz w:val="24"/>
          <w:szCs w:val="24"/>
          <w:lang w:val="ro-RO" w:eastAsia="en-GB"/>
        </w:rPr>
        <w:t>lor a fost accentuată</w:t>
      </w:r>
      <w:r w:rsidR="00115630">
        <w:rPr>
          <w:rFonts w:ascii="Palatino Linotype" w:hAnsi="Palatino Linotype"/>
          <w:sz w:val="24"/>
          <w:szCs w:val="24"/>
          <w:lang w:val="ro-RO" w:eastAsia="en-GB"/>
        </w:rPr>
        <w:t xml:space="preserve"> în atenţia procurorilor</w:t>
      </w:r>
      <w:r w:rsidRPr="008E3958">
        <w:rPr>
          <w:rFonts w:ascii="Palatino Linotype" w:hAnsi="Palatino Linotype"/>
          <w:sz w:val="24"/>
          <w:szCs w:val="24"/>
          <w:lang w:val="ro-RO" w:eastAsia="en-GB"/>
        </w:rPr>
        <w:t xml:space="preserve">. </w:t>
      </w:r>
    </w:p>
    <w:p w14:paraId="6CF2C493" w14:textId="77777777" w:rsidR="00DC2253" w:rsidRPr="00115630" w:rsidRDefault="00DC2253" w:rsidP="00152A10">
      <w:pPr>
        <w:spacing w:after="120"/>
        <w:ind w:firstLine="709"/>
        <w:jc w:val="both"/>
        <w:rPr>
          <w:rFonts w:ascii="Palatino Linotype" w:eastAsia="Calibri" w:hAnsi="Palatino Linotype"/>
          <w:sz w:val="25"/>
          <w:szCs w:val="25"/>
          <w:lang w:val="ro-RO"/>
        </w:rPr>
      </w:pPr>
      <w:r w:rsidRPr="00115630">
        <w:rPr>
          <w:rFonts w:ascii="Palatino Linotype" w:eastAsia="Calibri" w:hAnsi="Palatino Linotype"/>
          <w:sz w:val="25"/>
          <w:szCs w:val="25"/>
          <w:lang w:val="ro-RO"/>
        </w:rPr>
        <w:t xml:space="preserve">Prin parteneriat cu organizațiile societății civile în 2020 </w:t>
      </w:r>
      <w:r w:rsidR="000C7A5F" w:rsidRPr="00115630">
        <w:rPr>
          <w:rFonts w:ascii="Palatino Linotype" w:eastAsia="Calibri" w:hAnsi="Palatino Linotype"/>
          <w:sz w:val="25"/>
          <w:szCs w:val="25"/>
          <w:lang w:val="ro-RO"/>
        </w:rPr>
        <w:t xml:space="preserve">am demarat </w:t>
      </w:r>
      <w:r w:rsidRPr="00115630">
        <w:rPr>
          <w:rFonts w:ascii="Palatino Linotype" w:eastAsia="Calibri" w:hAnsi="Palatino Linotype"/>
          <w:sz w:val="25"/>
          <w:szCs w:val="25"/>
          <w:lang w:val="ro-RO"/>
        </w:rPr>
        <w:t xml:space="preserve">procesul de amenajare a unor săli de audiere dedicate </w:t>
      </w:r>
      <w:r w:rsidR="000C7A5F">
        <w:rPr>
          <w:rFonts w:ascii="Palatino Linotype" w:eastAsia="Calibri" w:hAnsi="Palatino Linotype"/>
          <w:sz w:val="25"/>
          <w:szCs w:val="25"/>
          <w:lang w:val="ro-RO"/>
        </w:rPr>
        <w:t>victimelor minore</w:t>
      </w:r>
      <w:r w:rsidRPr="00115630">
        <w:rPr>
          <w:rFonts w:ascii="Palatino Linotype" w:eastAsia="Calibri" w:hAnsi="Palatino Linotype"/>
          <w:sz w:val="25"/>
          <w:szCs w:val="25"/>
          <w:lang w:val="ro-RO"/>
        </w:rPr>
        <w:t xml:space="preserve">, proiectul având ca rezultat până în prezent crearea a </w:t>
      </w:r>
      <w:r w:rsidRPr="00115630">
        <w:rPr>
          <w:rFonts w:ascii="Palatino Linotype" w:eastAsia="Calibri" w:hAnsi="Palatino Linotype"/>
          <w:b/>
          <w:sz w:val="25"/>
          <w:szCs w:val="25"/>
          <w:lang w:val="ro-RO"/>
        </w:rPr>
        <w:t>8 săli de audiere</w:t>
      </w:r>
      <w:r w:rsidRPr="00115630">
        <w:rPr>
          <w:rFonts w:ascii="Palatino Linotype" w:eastAsia="Calibri" w:hAnsi="Palatino Linotype"/>
          <w:sz w:val="25"/>
          <w:szCs w:val="25"/>
          <w:lang w:val="ro-RO"/>
        </w:rPr>
        <w:t xml:space="preserve"> în sediile parchetelor. </w:t>
      </w:r>
    </w:p>
    <w:p w14:paraId="386C3CCE" w14:textId="77777777" w:rsidR="00DC2253" w:rsidRPr="009C617D" w:rsidRDefault="00DC2253" w:rsidP="00152A10">
      <w:pPr>
        <w:spacing w:after="120"/>
        <w:ind w:firstLine="709"/>
        <w:jc w:val="both"/>
        <w:rPr>
          <w:rFonts w:ascii="Palatino Linotype" w:eastAsia="Calibri" w:hAnsi="Palatino Linotype"/>
          <w:sz w:val="25"/>
          <w:szCs w:val="25"/>
          <w:lang w:val="ro-RO"/>
        </w:rPr>
      </w:pPr>
      <w:r w:rsidRPr="00115630">
        <w:rPr>
          <w:rFonts w:ascii="Palatino Linotype" w:eastAsia="Calibri" w:hAnsi="Palatino Linotype"/>
          <w:sz w:val="25"/>
          <w:szCs w:val="25"/>
          <w:lang w:val="ro-RO"/>
        </w:rPr>
        <w:t xml:space="preserve">În paralel, se află în curs de implementare un </w:t>
      </w:r>
      <w:r w:rsidRPr="00115630">
        <w:rPr>
          <w:rFonts w:ascii="Palatino Linotype" w:eastAsia="Calibri" w:hAnsi="Palatino Linotype"/>
          <w:b/>
          <w:sz w:val="25"/>
          <w:szCs w:val="25"/>
          <w:lang w:val="ro-RO"/>
        </w:rPr>
        <w:t>proiect</w:t>
      </w:r>
      <w:r w:rsidR="000C7A5F">
        <w:rPr>
          <w:rFonts w:ascii="Palatino Linotype" w:eastAsia="Calibri" w:hAnsi="Palatino Linotype"/>
          <w:sz w:val="25"/>
          <w:szCs w:val="25"/>
          <w:lang w:val="ro-RO"/>
        </w:rPr>
        <w:t xml:space="preserve"> prin</w:t>
      </w:r>
      <w:r w:rsidRPr="00115630">
        <w:rPr>
          <w:rFonts w:ascii="Palatino Linotype" w:eastAsia="Calibri" w:hAnsi="Palatino Linotype"/>
          <w:sz w:val="25"/>
          <w:szCs w:val="25"/>
          <w:lang w:val="ro-RO"/>
        </w:rPr>
        <w:t xml:space="preserve"> Mecanismul Financiar Norvegian intitulat </w:t>
      </w:r>
      <w:r w:rsidRPr="00115630">
        <w:rPr>
          <w:rFonts w:ascii="Palatino Linotype" w:eastAsia="Calibri" w:hAnsi="Palatino Linotype"/>
          <w:b/>
          <w:sz w:val="25"/>
          <w:szCs w:val="25"/>
          <w:lang w:val="ro-RO"/>
        </w:rPr>
        <w:t>„Protecția victimelor infracțiunilor”</w:t>
      </w:r>
      <w:r w:rsidRPr="00115630">
        <w:rPr>
          <w:rFonts w:ascii="Palatino Linotype" w:eastAsia="Calibri" w:hAnsi="Palatino Linotype"/>
          <w:sz w:val="25"/>
          <w:szCs w:val="25"/>
          <w:lang w:val="ro-RO"/>
        </w:rPr>
        <w:t xml:space="preserve"> care are între obiective amenajarea altor </w:t>
      </w:r>
      <w:r w:rsidRPr="00115630">
        <w:rPr>
          <w:rFonts w:ascii="Palatino Linotype" w:eastAsia="Calibri" w:hAnsi="Palatino Linotype"/>
          <w:b/>
          <w:sz w:val="25"/>
          <w:szCs w:val="25"/>
          <w:lang w:val="ro-RO"/>
        </w:rPr>
        <w:t>30</w:t>
      </w:r>
      <w:r w:rsidRPr="00115630">
        <w:rPr>
          <w:rFonts w:ascii="Palatino Linotype" w:eastAsia="Calibri" w:hAnsi="Palatino Linotype"/>
          <w:sz w:val="25"/>
          <w:szCs w:val="25"/>
          <w:lang w:val="ro-RO"/>
        </w:rPr>
        <w:t xml:space="preserve"> </w:t>
      </w:r>
      <w:r w:rsidRPr="00115630">
        <w:rPr>
          <w:rFonts w:ascii="Palatino Linotype" w:eastAsia="Calibri" w:hAnsi="Palatino Linotype"/>
          <w:b/>
          <w:sz w:val="25"/>
          <w:szCs w:val="25"/>
          <w:lang w:val="ro-RO"/>
        </w:rPr>
        <w:t>de săli de audiere</w:t>
      </w:r>
      <w:r w:rsidR="009C617D">
        <w:rPr>
          <w:rFonts w:ascii="Palatino Linotype" w:eastAsia="Calibri" w:hAnsi="Palatino Linotype"/>
          <w:sz w:val="25"/>
          <w:szCs w:val="25"/>
          <w:lang w:val="ro-RO"/>
        </w:rPr>
        <w:t xml:space="preserve"> în toată țara. </w:t>
      </w:r>
    </w:p>
    <w:p w14:paraId="2B6578FD" w14:textId="77777777" w:rsidR="00DC2253" w:rsidRPr="00115630" w:rsidRDefault="00DC2253" w:rsidP="00152A10">
      <w:pPr>
        <w:spacing w:after="120"/>
        <w:ind w:firstLine="709"/>
        <w:jc w:val="both"/>
        <w:rPr>
          <w:rFonts w:ascii="Palatino Linotype" w:eastAsia="Calibri" w:hAnsi="Palatino Linotype"/>
          <w:sz w:val="25"/>
          <w:szCs w:val="25"/>
          <w:lang w:val="ro-RO"/>
        </w:rPr>
      </w:pPr>
      <w:r w:rsidRPr="00115630">
        <w:rPr>
          <w:rFonts w:ascii="Palatino Linotype" w:eastAsia="Calibri" w:hAnsi="Palatino Linotype"/>
          <w:sz w:val="25"/>
          <w:szCs w:val="25"/>
          <w:lang w:val="ro-RO"/>
        </w:rPr>
        <w:t xml:space="preserve">Activitatea DIICOT privind combaterea traficului de persoane şi a criminalităţii organizate este importantă din perspectiva rapoartelor internaţionale privind acest domeniu, în care dimensiunea fenomenului, specificităţile </w:t>
      </w:r>
      <w:r w:rsidR="000C7A5F">
        <w:rPr>
          <w:rFonts w:ascii="Palatino Linotype" w:eastAsia="Calibri" w:hAnsi="Palatino Linotype"/>
          <w:sz w:val="25"/>
          <w:szCs w:val="25"/>
          <w:lang w:val="ro-RO"/>
        </w:rPr>
        <w:t xml:space="preserve">acestuia </w:t>
      </w:r>
      <w:r w:rsidRPr="00115630">
        <w:rPr>
          <w:rFonts w:ascii="Palatino Linotype" w:eastAsia="Calibri" w:hAnsi="Palatino Linotype"/>
          <w:sz w:val="25"/>
          <w:szCs w:val="25"/>
          <w:lang w:val="ro-RO"/>
        </w:rPr>
        <w:t xml:space="preserve">sunt analizate pe o scară mai largă. Traficul de migranţi </w:t>
      </w:r>
      <w:r w:rsidR="000C7A5F" w:rsidRPr="00115630">
        <w:rPr>
          <w:rFonts w:ascii="Palatino Linotype" w:eastAsia="Calibri" w:hAnsi="Palatino Linotype"/>
          <w:sz w:val="25"/>
          <w:szCs w:val="25"/>
          <w:lang w:val="ro-RO"/>
        </w:rPr>
        <w:t xml:space="preserve">revine în competenţa </w:t>
      </w:r>
      <w:r w:rsidR="000C7A5F" w:rsidRPr="00115630">
        <w:rPr>
          <w:rFonts w:ascii="Palatino Linotype" w:eastAsia="Calibri" w:hAnsi="Palatino Linotype"/>
          <w:sz w:val="25"/>
          <w:szCs w:val="25"/>
          <w:lang w:val="ro-RO"/>
        </w:rPr>
        <w:lastRenderedPageBreak/>
        <w:t xml:space="preserve">DIICOT </w:t>
      </w:r>
      <w:r w:rsidRPr="00115630">
        <w:rPr>
          <w:rFonts w:ascii="Palatino Linotype" w:eastAsia="Calibri" w:hAnsi="Palatino Linotype"/>
          <w:sz w:val="25"/>
          <w:szCs w:val="25"/>
          <w:lang w:val="ro-RO"/>
        </w:rPr>
        <w:t xml:space="preserve">numai în condiţiile grupului infracţional organizat, dar – odată cu intensificarea migraţiei ilegale pe frontiera de sud-vest – eforturile trebuie să treacă la alt nivel, acela al descoperirii palierelor de comandă, astfel încât ansamblul de măsuri de cercetare (preventive şi asigurătorii) să aibă efectul descuranjant definit de sintagma „crime does not pay”. </w:t>
      </w:r>
    </w:p>
    <w:p w14:paraId="6EDF46B1" w14:textId="77777777" w:rsidR="00DC2253" w:rsidRPr="009C617D" w:rsidRDefault="00DC2253" w:rsidP="00152A10">
      <w:pPr>
        <w:spacing w:after="120"/>
        <w:ind w:firstLine="709"/>
        <w:jc w:val="both"/>
        <w:rPr>
          <w:rFonts w:ascii="Palatino Linotype" w:eastAsia="Calibri" w:hAnsi="Palatino Linotype"/>
          <w:sz w:val="25"/>
          <w:szCs w:val="25"/>
          <w:lang w:val="ro-RO"/>
        </w:rPr>
      </w:pPr>
      <w:r w:rsidRPr="00115630">
        <w:rPr>
          <w:rFonts w:ascii="Palatino Linotype" w:eastAsia="Calibri" w:hAnsi="Palatino Linotype"/>
          <w:sz w:val="25"/>
          <w:szCs w:val="25"/>
          <w:lang w:val="ro-RO"/>
        </w:rPr>
        <w:t>În priorităţile MP s-au inserat, în mod automat faţă de situaţia de urgenţă sanitară, infracţiunile contra sănătăţii publice, a căror defi</w:t>
      </w:r>
      <w:r w:rsidR="000C7A5F">
        <w:rPr>
          <w:rFonts w:ascii="Palatino Linotype" w:eastAsia="Calibri" w:hAnsi="Palatino Linotype"/>
          <w:sz w:val="25"/>
          <w:szCs w:val="25"/>
          <w:lang w:val="ro-RO"/>
        </w:rPr>
        <w:t>niţie s-a completat în anul 2020</w:t>
      </w:r>
      <w:r w:rsidRPr="00115630">
        <w:rPr>
          <w:rFonts w:ascii="Palatino Linotype" w:eastAsia="Calibri" w:hAnsi="Palatino Linotype"/>
          <w:sz w:val="25"/>
          <w:szCs w:val="25"/>
          <w:lang w:val="ro-RO"/>
        </w:rPr>
        <w:t xml:space="preserve">. Rezultatele cercetării acestor infracţiuni sunt analizate în rapoartele de activitate. </w:t>
      </w:r>
    </w:p>
    <w:p w14:paraId="06A7EAC4" w14:textId="77777777" w:rsidR="00DC2253" w:rsidRPr="00115630" w:rsidRDefault="00DC2253" w:rsidP="00152A10">
      <w:pPr>
        <w:spacing w:after="120"/>
        <w:ind w:firstLine="709"/>
        <w:jc w:val="both"/>
        <w:rPr>
          <w:rFonts w:ascii="Palatino Linotype" w:eastAsia="Calibri" w:hAnsi="Palatino Linotype"/>
          <w:sz w:val="25"/>
          <w:szCs w:val="25"/>
          <w:lang w:val="ro-RO"/>
        </w:rPr>
      </w:pPr>
      <w:r w:rsidRPr="00115630">
        <w:rPr>
          <w:rFonts w:ascii="Palatino Linotype" w:eastAsia="Calibri" w:hAnsi="Palatino Linotype"/>
          <w:sz w:val="25"/>
          <w:szCs w:val="25"/>
          <w:lang w:val="ro-RO"/>
        </w:rPr>
        <w:t xml:space="preserve">Începând cu anul 2021, o altă faţetă a criminalităţii s-a relevat în legătură cu combaterea Covid-19, respectiv emiterea frauduloasă a certificatelor de vaccinare COVID, ceea ce a luat inclusiv forma unor infracţiuni de corupţie. Competenţa s-a stabilit şi pentru DNA, în raport de criteriile art.13 din OUG nr.43/2002, rezultând mecansime de fals informatic bine coordonate. La nivelul PÎCCJ, am formulat către parchetele subordonate îndrumări vizând abordarea probelor din perspectiva descoperirii infracţiunilor de corupţie sau de serviciu, premisă sau rezultat al infracţiunilor de fals. </w:t>
      </w:r>
    </w:p>
    <w:p w14:paraId="72E61B6B" w14:textId="77777777" w:rsidR="00DC2253" w:rsidRPr="00DC2253" w:rsidRDefault="00DC2253" w:rsidP="00152A10">
      <w:pPr>
        <w:spacing w:after="120"/>
        <w:ind w:firstLine="709"/>
        <w:jc w:val="both"/>
        <w:rPr>
          <w:rFonts w:ascii="Palatino Linotype" w:eastAsia="Calibri" w:hAnsi="Palatino Linotype"/>
          <w:color w:val="FF0000"/>
          <w:sz w:val="25"/>
          <w:szCs w:val="25"/>
          <w:lang w:val="ro-RO"/>
        </w:rPr>
      </w:pPr>
    </w:p>
    <w:p w14:paraId="00B6DD3F" w14:textId="77777777" w:rsidR="00DC2253" w:rsidRPr="000C7A5F" w:rsidRDefault="00DC2253" w:rsidP="00152A10">
      <w:pPr>
        <w:shd w:val="clear" w:color="auto" w:fill="DEEAF6" w:themeFill="accent1" w:themeFillTint="33"/>
        <w:spacing w:after="120"/>
        <w:ind w:firstLine="709"/>
        <w:jc w:val="both"/>
        <w:rPr>
          <w:rFonts w:ascii="Palatino Linotype" w:eastAsia="Calibri" w:hAnsi="Palatino Linotype"/>
          <w:b/>
          <w:sz w:val="25"/>
          <w:szCs w:val="25"/>
          <w:lang w:val="ro-RO"/>
        </w:rPr>
      </w:pPr>
      <w:r w:rsidRPr="000C7A5F">
        <w:rPr>
          <w:rFonts w:ascii="Palatino Linotype" w:eastAsia="Calibri" w:hAnsi="Palatino Linotype"/>
          <w:b/>
          <w:sz w:val="25"/>
          <w:szCs w:val="25"/>
          <w:lang w:val="ro-RO"/>
        </w:rPr>
        <w:t xml:space="preserve">Elemente cheie pentru realizarea misiunii MP </w:t>
      </w:r>
    </w:p>
    <w:p w14:paraId="025279A8" w14:textId="77777777" w:rsidR="009C617D" w:rsidRDefault="009C617D" w:rsidP="00152A10">
      <w:pPr>
        <w:spacing w:after="120"/>
        <w:ind w:firstLine="709"/>
        <w:jc w:val="both"/>
        <w:rPr>
          <w:rFonts w:ascii="Palatino Linotype" w:eastAsia="Calibri" w:hAnsi="Palatino Linotype"/>
          <w:sz w:val="25"/>
          <w:szCs w:val="25"/>
          <w:lang w:val="ro-RO"/>
        </w:rPr>
      </w:pPr>
    </w:p>
    <w:p w14:paraId="3111C540" w14:textId="77777777" w:rsidR="00DC2253" w:rsidRPr="009C617D" w:rsidRDefault="00DC2253" w:rsidP="00152A10">
      <w:pPr>
        <w:spacing w:after="120"/>
        <w:ind w:firstLine="709"/>
        <w:jc w:val="both"/>
        <w:rPr>
          <w:rFonts w:ascii="Palatino Linotype" w:eastAsia="Calibri" w:hAnsi="Palatino Linotype"/>
          <w:sz w:val="25"/>
          <w:szCs w:val="25"/>
          <w:lang w:val="ro-RO"/>
        </w:rPr>
      </w:pPr>
      <w:r w:rsidRPr="00115630">
        <w:rPr>
          <w:rFonts w:ascii="Palatino Linotype" w:eastAsia="Calibri" w:hAnsi="Palatino Linotype"/>
          <w:sz w:val="25"/>
          <w:szCs w:val="25"/>
          <w:lang w:val="ro-RO"/>
        </w:rPr>
        <w:t xml:space="preserve">Aplicat acestor indicatori cantitativi, eficienţa activităţii MP rezultă </w:t>
      </w:r>
      <w:r w:rsidR="009C617D">
        <w:rPr>
          <w:rFonts w:ascii="Palatino Linotype" w:eastAsia="Calibri" w:hAnsi="Palatino Linotype"/>
          <w:sz w:val="25"/>
          <w:szCs w:val="25"/>
          <w:lang w:val="ro-RO"/>
        </w:rPr>
        <w:t xml:space="preserve">şi din indicatorii calitativi. </w:t>
      </w:r>
    </w:p>
    <w:p w14:paraId="11C8F577" w14:textId="77777777" w:rsidR="00DC2253" w:rsidRPr="00480CC7" w:rsidRDefault="00DC2253" w:rsidP="00152A10">
      <w:pPr>
        <w:spacing w:after="120"/>
        <w:ind w:firstLine="709"/>
        <w:jc w:val="both"/>
        <w:rPr>
          <w:rFonts w:ascii="Palatino Linotype" w:eastAsia="Calibri" w:hAnsi="Palatino Linotype"/>
          <w:sz w:val="25"/>
          <w:szCs w:val="25"/>
          <w:lang w:val="ro-RO"/>
        </w:rPr>
      </w:pPr>
      <w:r w:rsidRPr="00480CC7">
        <w:rPr>
          <w:rFonts w:ascii="Palatino Linotype" w:eastAsia="Calibri" w:hAnsi="Palatino Linotype"/>
          <w:sz w:val="25"/>
          <w:szCs w:val="25"/>
          <w:lang w:val="ro-RO"/>
        </w:rPr>
        <w:t xml:space="preserve">Numărul achitărilor a scăzut, iar ponderea inculpaţilor achitaţi a scăzut, de asemenea. </w:t>
      </w:r>
    </w:p>
    <w:p w14:paraId="657D8CD0" w14:textId="77777777" w:rsidR="00DC2253" w:rsidRPr="009C617D" w:rsidRDefault="00DC2253" w:rsidP="00152A10">
      <w:pPr>
        <w:spacing w:after="120"/>
        <w:ind w:firstLine="709"/>
        <w:jc w:val="both"/>
        <w:rPr>
          <w:rFonts w:ascii="Palatino Linotype" w:eastAsia="Calibri" w:hAnsi="Palatino Linotype"/>
          <w:sz w:val="25"/>
          <w:szCs w:val="25"/>
          <w:lang w:val="ro-RO"/>
        </w:rPr>
      </w:pPr>
      <w:r w:rsidRPr="00480CC7">
        <w:rPr>
          <w:rFonts w:ascii="Palatino Linotype" w:eastAsia="Calibri" w:hAnsi="Palatino Linotype"/>
          <w:sz w:val="25"/>
          <w:szCs w:val="25"/>
          <w:lang w:val="ro-RO"/>
        </w:rPr>
        <w:t>Cauzele restituite de judecătorul de cameră preliminară, respectiv în care s-a dispus infirmarea sau redeschiderea urmăririi penale nu relevă aspecte problematice, deşi numărul restituirilor fluctuează de o manieră din care – la nivelul conducerii MP – putem afirma clar că nu se acordă toată atenţia de către prim-procurori pentru verificarea rechizitoriilor, conform a</w:t>
      </w:r>
      <w:r w:rsidR="009C617D">
        <w:rPr>
          <w:rFonts w:ascii="Palatino Linotype" w:eastAsia="Calibri" w:hAnsi="Palatino Linotype"/>
          <w:sz w:val="25"/>
          <w:szCs w:val="25"/>
          <w:lang w:val="ro-RO"/>
        </w:rPr>
        <w:t xml:space="preserve">rt.328 C.p.p. </w:t>
      </w:r>
    </w:p>
    <w:p w14:paraId="1C900110" w14:textId="77777777" w:rsidR="00DC2253" w:rsidRPr="00480CC7" w:rsidRDefault="00DC2253" w:rsidP="00152A10">
      <w:pPr>
        <w:spacing w:after="120"/>
        <w:ind w:firstLine="709"/>
        <w:jc w:val="both"/>
        <w:rPr>
          <w:rFonts w:ascii="Palatino Linotype" w:eastAsia="Calibri" w:hAnsi="Palatino Linotype"/>
          <w:sz w:val="25"/>
          <w:szCs w:val="25"/>
          <w:lang w:val="ro-RO"/>
        </w:rPr>
      </w:pPr>
      <w:r w:rsidRPr="00480CC7">
        <w:rPr>
          <w:rFonts w:ascii="Palatino Linotype" w:eastAsia="Calibri" w:hAnsi="Palatino Linotype"/>
          <w:sz w:val="25"/>
          <w:szCs w:val="25"/>
          <w:lang w:val="ro-RO"/>
        </w:rPr>
        <w:t xml:space="preserve">În urma analizelor întocmite conform ordinelor interne, au fost stabilite măsuri generale de îndrumare pentru creşterea calităţii urmăririi penale, precum şi pentru creşterea eficienţei verificării actelor de sesizare a instanţei de către procurorii cu funcţii de conducere, conform legii. Identificarea problemelor de drept prin aceste analize este menită să realizeze funcţia de control-reglare în activitatea parchetelor şi vă semnalez că studiul acestor lucrări </w:t>
      </w:r>
      <w:r w:rsidRPr="00D35A7B">
        <w:rPr>
          <w:rFonts w:ascii="Palatino Linotype" w:eastAsia="Calibri" w:hAnsi="Palatino Linotype"/>
          <w:b/>
          <w:sz w:val="25"/>
          <w:szCs w:val="25"/>
          <w:lang w:val="ro-RO"/>
        </w:rPr>
        <w:t>nu este opţional</w:t>
      </w:r>
      <w:r w:rsidRPr="00480CC7">
        <w:rPr>
          <w:rFonts w:ascii="Palatino Linotype" w:eastAsia="Calibri" w:hAnsi="Palatino Linotype"/>
          <w:sz w:val="25"/>
          <w:szCs w:val="25"/>
          <w:lang w:val="ro-RO"/>
        </w:rPr>
        <w:t xml:space="preserve">. </w:t>
      </w:r>
    </w:p>
    <w:p w14:paraId="5B857769" w14:textId="77777777" w:rsidR="00DC2253" w:rsidRPr="00480CC7" w:rsidRDefault="00DC2253" w:rsidP="00152A10">
      <w:pPr>
        <w:spacing w:after="120"/>
        <w:ind w:firstLine="709"/>
        <w:jc w:val="both"/>
        <w:rPr>
          <w:rFonts w:ascii="Palatino Linotype" w:eastAsia="Calibri" w:hAnsi="Palatino Linotype"/>
          <w:sz w:val="25"/>
          <w:szCs w:val="25"/>
          <w:lang w:val="ro-RO"/>
        </w:rPr>
      </w:pPr>
      <w:r w:rsidRPr="00480CC7">
        <w:rPr>
          <w:rFonts w:ascii="Palatino Linotype" w:eastAsia="Calibri" w:hAnsi="Palatino Linotype"/>
          <w:sz w:val="25"/>
          <w:szCs w:val="25"/>
          <w:lang w:val="ro-RO"/>
        </w:rPr>
        <w:t xml:space="preserve">Personal consider o dezamăgire profesională să descoperim, în lucrări date în competenţa procurorului general, aspecte colaterale care relevă tratarea superficială a cauzelor atât la nivelul organelor de cercetare ale poliţiei judiciare, cât şi la nivelul procurorilor care dispun soluţiile. </w:t>
      </w:r>
    </w:p>
    <w:p w14:paraId="2A42E49E" w14:textId="77777777" w:rsidR="00DC2253" w:rsidRPr="00480CC7" w:rsidRDefault="00DC2253" w:rsidP="00152A10">
      <w:pPr>
        <w:spacing w:after="120"/>
        <w:ind w:firstLine="709"/>
        <w:jc w:val="both"/>
        <w:rPr>
          <w:rFonts w:ascii="Palatino Linotype" w:eastAsia="Calibri" w:hAnsi="Palatino Linotype"/>
          <w:sz w:val="25"/>
          <w:szCs w:val="25"/>
          <w:lang w:val="ro-RO"/>
        </w:rPr>
      </w:pPr>
      <w:r w:rsidRPr="00480CC7">
        <w:rPr>
          <w:rFonts w:ascii="Palatino Linotype" w:eastAsia="Calibri" w:hAnsi="Palatino Linotype"/>
          <w:sz w:val="25"/>
          <w:szCs w:val="25"/>
          <w:lang w:val="ro-RO"/>
        </w:rPr>
        <w:lastRenderedPageBreak/>
        <w:t xml:space="preserve">Am adus în atenţia conducătorilor de parchete aspecte de nelegalitate necesar să fie examinate din oficiu, cu motivare şi repere adecvate în privinţa stabilirii problemei de drept, astfel încât consecinţele decurgând din Decizia RIL nr.23/2020 (penal) a Înaltei Curţi de Casaţie şi Justiţie (respectiv lipsa temeiului pentru procurorul general să infirme o ordonanţă nelegală a unui parchet inferior) să nu împiedice examinarea unor chestiuni pertinente la nivelul corespunzător. </w:t>
      </w:r>
    </w:p>
    <w:p w14:paraId="63494355" w14:textId="77777777" w:rsidR="00DC2253" w:rsidRPr="00480CC7" w:rsidRDefault="00DC2253" w:rsidP="00152A10">
      <w:pPr>
        <w:spacing w:after="120"/>
        <w:ind w:firstLine="709"/>
        <w:jc w:val="both"/>
        <w:rPr>
          <w:rFonts w:ascii="Palatino Linotype" w:eastAsia="Calibri" w:hAnsi="Palatino Linotype"/>
          <w:sz w:val="25"/>
          <w:szCs w:val="25"/>
          <w:lang w:val="ro-RO"/>
        </w:rPr>
      </w:pPr>
      <w:r w:rsidRPr="00480CC7">
        <w:rPr>
          <w:rFonts w:ascii="Palatino Linotype" w:eastAsia="Calibri" w:hAnsi="Palatino Linotype"/>
          <w:sz w:val="25"/>
          <w:szCs w:val="25"/>
          <w:lang w:val="ro-RO"/>
        </w:rPr>
        <w:t>Procentul de admisibilitate a căilor de atac în materie penală a crescut de la 66,6% în anul 2019 la 68,1% în 2021. La fel, în materie civilă</w:t>
      </w:r>
      <w:r w:rsidR="00D35A7B">
        <w:rPr>
          <w:rFonts w:ascii="Palatino Linotype" w:eastAsia="Calibri" w:hAnsi="Palatino Linotype"/>
          <w:sz w:val="25"/>
          <w:szCs w:val="25"/>
          <w:lang w:val="ro-RO"/>
        </w:rPr>
        <w:t xml:space="preserve"> a crescut</w:t>
      </w:r>
      <w:r w:rsidRPr="00480CC7">
        <w:rPr>
          <w:rFonts w:ascii="Palatino Linotype" w:eastAsia="Calibri" w:hAnsi="Palatino Linotype"/>
          <w:sz w:val="25"/>
          <w:szCs w:val="25"/>
          <w:lang w:val="ro-RO"/>
        </w:rPr>
        <w:t xml:space="preserve"> de la 57,2% la 66,2%. </w:t>
      </w:r>
    </w:p>
    <w:p w14:paraId="0CA90E17" w14:textId="77777777" w:rsidR="00DC2253" w:rsidRPr="00480CC7" w:rsidRDefault="00DC2253" w:rsidP="00152A10">
      <w:pPr>
        <w:spacing w:after="120"/>
        <w:ind w:firstLine="709"/>
        <w:jc w:val="both"/>
        <w:rPr>
          <w:rFonts w:ascii="Palatino Linotype" w:eastAsia="Calibri" w:hAnsi="Palatino Linotype"/>
          <w:sz w:val="25"/>
          <w:szCs w:val="25"/>
          <w:lang w:val="ro-RO"/>
        </w:rPr>
      </w:pPr>
      <w:r w:rsidRPr="00480CC7">
        <w:rPr>
          <w:rFonts w:ascii="Palatino Linotype" w:eastAsia="Calibri" w:hAnsi="Palatino Linotype"/>
          <w:sz w:val="25"/>
          <w:szCs w:val="25"/>
          <w:lang w:val="ro-RO"/>
        </w:rPr>
        <w:t>Demersurile proprii pentru unificarea practicii judiciare au condus la admisibilitate în marja 95-100% a recursurilor în interesul legii şi a sesizărilor pentru care PÎCCJ a transmis punct de vedere</w:t>
      </w:r>
      <w:r w:rsidR="00D35A7B">
        <w:rPr>
          <w:rFonts w:ascii="Palatino Linotype" w:eastAsia="Calibri" w:hAnsi="Palatino Linotype"/>
          <w:sz w:val="25"/>
          <w:szCs w:val="25"/>
          <w:lang w:val="ro-RO"/>
        </w:rPr>
        <w:t>, atât în materie civilă, cât și în materie penală</w:t>
      </w:r>
      <w:r w:rsidRPr="00480CC7">
        <w:rPr>
          <w:rFonts w:ascii="Palatino Linotype" w:eastAsia="Calibri" w:hAnsi="Palatino Linotype"/>
          <w:sz w:val="25"/>
          <w:szCs w:val="25"/>
          <w:lang w:val="ro-RO"/>
        </w:rPr>
        <w:t xml:space="preserve">. </w:t>
      </w:r>
    </w:p>
    <w:p w14:paraId="4C8E45A5" w14:textId="77777777" w:rsidR="00DC2253" w:rsidRPr="00480CC7" w:rsidRDefault="00DC2253" w:rsidP="00152A10">
      <w:pPr>
        <w:spacing w:after="120"/>
        <w:ind w:firstLine="709"/>
        <w:jc w:val="both"/>
        <w:rPr>
          <w:rFonts w:ascii="Palatino Linotype" w:eastAsia="Calibri" w:hAnsi="Palatino Linotype"/>
          <w:sz w:val="25"/>
          <w:szCs w:val="25"/>
          <w:lang w:val="ro-RO"/>
        </w:rPr>
      </w:pPr>
      <w:r w:rsidRPr="00480CC7">
        <w:rPr>
          <w:rFonts w:ascii="Palatino Linotype" w:eastAsia="Calibri" w:hAnsi="Palatino Linotype"/>
          <w:sz w:val="25"/>
          <w:szCs w:val="25"/>
          <w:lang w:val="ro-RO"/>
        </w:rPr>
        <w:t xml:space="preserve">Am studiat pentru pregătirea contribuţiilor tehnice la raportul MCV şi la raportul privind statul de drept dinamica resurselor umane în parchete. Constatările se referă la numărul mai mare al funcţiilor de conducere vacante decât cel al funcţiilor de execuţie (sfârşitul anului 2021 ca referinţă finală). </w:t>
      </w:r>
    </w:p>
    <w:p w14:paraId="0912BB1D" w14:textId="33FE0432" w:rsidR="00DC2253" w:rsidRDefault="00DC2253" w:rsidP="00152A10">
      <w:pPr>
        <w:spacing w:after="120"/>
        <w:ind w:firstLine="709"/>
        <w:jc w:val="both"/>
        <w:rPr>
          <w:rFonts w:ascii="Palatino Linotype" w:eastAsia="Calibri" w:hAnsi="Palatino Linotype"/>
          <w:sz w:val="25"/>
          <w:szCs w:val="25"/>
          <w:lang w:val="ro-RO"/>
        </w:rPr>
      </w:pPr>
      <w:r w:rsidRPr="00480CC7">
        <w:rPr>
          <w:rFonts w:ascii="Palatino Linotype" w:eastAsia="Calibri" w:hAnsi="Palatino Linotype"/>
          <w:sz w:val="25"/>
          <w:szCs w:val="25"/>
          <w:lang w:val="ro-RO"/>
        </w:rPr>
        <w:t xml:space="preserve">Este necesar, prin îndeplinirea condiţiilor legale, să găsiţi motivaţia internă pentru ocuparea acestor funcţii. Liderii informali din parchete au posibilitatea să-şi pună în valoare cunoştinţele, pregătirea, energia constructivă prin asumarea formală a funcţiilor de conducere. Chiar simplist exprimat, ocuparea funcţiilor de conducere deschide posibilitatea ocupării funcţiilor de execuţie. Din 2020, cu sprijinul Ministerului Justiţiei, prezentăm motivări echilibrate pentru majorarea numărului de posturi de procuror, încă fără un rezultat – </w:t>
      </w:r>
      <w:r w:rsidR="00D35A7B">
        <w:rPr>
          <w:rFonts w:ascii="Palatino Linotype" w:eastAsia="Calibri" w:hAnsi="Palatino Linotype"/>
          <w:sz w:val="25"/>
          <w:szCs w:val="25"/>
          <w:lang w:val="ro-RO"/>
        </w:rPr>
        <w:t xml:space="preserve">pentru că </w:t>
      </w:r>
      <w:r w:rsidRPr="00480CC7">
        <w:rPr>
          <w:rFonts w:ascii="Palatino Linotype" w:eastAsia="Calibri" w:hAnsi="Palatino Linotype"/>
          <w:sz w:val="25"/>
          <w:szCs w:val="25"/>
          <w:lang w:val="ro-RO"/>
        </w:rPr>
        <w:t>principalul</w:t>
      </w:r>
      <w:r w:rsidR="00D35A7B">
        <w:rPr>
          <w:rFonts w:ascii="Palatino Linotype" w:eastAsia="Calibri" w:hAnsi="Palatino Linotype"/>
          <w:sz w:val="25"/>
          <w:szCs w:val="25"/>
          <w:lang w:val="ro-RO"/>
        </w:rPr>
        <w:t xml:space="preserve"> subiect al clarificărilor este</w:t>
      </w:r>
      <w:r w:rsidRPr="00480CC7">
        <w:rPr>
          <w:rFonts w:ascii="Palatino Linotype" w:eastAsia="Calibri" w:hAnsi="Palatino Linotype"/>
          <w:sz w:val="25"/>
          <w:szCs w:val="25"/>
          <w:lang w:val="ro-RO"/>
        </w:rPr>
        <w:t xml:space="preserve"> nevoia majorării numărului maxim de posturi atunci când există atât de multe posturi vacante. </w:t>
      </w:r>
    </w:p>
    <w:p w14:paraId="5AD81F2D" w14:textId="77777777" w:rsidR="004930A5" w:rsidRPr="004930A5" w:rsidRDefault="004930A5" w:rsidP="004930A5">
      <w:pPr>
        <w:spacing w:after="120"/>
        <w:ind w:firstLine="709"/>
        <w:jc w:val="both"/>
        <w:rPr>
          <w:rFonts w:ascii="Palatino Linotype" w:eastAsia="Calibri" w:hAnsi="Palatino Linotype"/>
          <w:sz w:val="25"/>
          <w:szCs w:val="25"/>
          <w:lang w:val="ro-RO"/>
        </w:rPr>
      </w:pPr>
      <w:r w:rsidRPr="004930A5">
        <w:rPr>
          <w:rFonts w:ascii="Palatino Linotype" w:eastAsia="Calibri" w:hAnsi="Palatino Linotype"/>
          <w:sz w:val="25"/>
          <w:szCs w:val="25"/>
          <w:lang w:val="ro-RO"/>
        </w:rPr>
        <w:t xml:space="preserve">În direcţia susţinerii activităţii operative am insistat pentru accesarea de finanţări din fonduri externe nerambursabile, graţie cărora am putut furniza instrumentele tehnice necesare adaptării instituţiei noastre la tendinţele actuale ale infracţionalităţii, comise cu precădere prin mijloace informatice. </w:t>
      </w:r>
    </w:p>
    <w:p w14:paraId="3030F5DD" w14:textId="2491C916" w:rsidR="004930A5" w:rsidRPr="004930A5" w:rsidRDefault="004930A5" w:rsidP="004930A5">
      <w:pPr>
        <w:spacing w:after="120"/>
        <w:ind w:firstLine="709"/>
        <w:jc w:val="both"/>
        <w:rPr>
          <w:rFonts w:ascii="Palatino Linotype" w:eastAsia="Calibri" w:hAnsi="Palatino Linotype"/>
          <w:sz w:val="25"/>
          <w:szCs w:val="25"/>
          <w:lang w:val="ro-RO"/>
        </w:rPr>
      </w:pPr>
      <w:r w:rsidRPr="004930A5">
        <w:rPr>
          <w:rFonts w:ascii="Palatino Linotype" w:eastAsia="Calibri" w:hAnsi="Palatino Linotype"/>
          <w:sz w:val="25"/>
          <w:szCs w:val="25"/>
          <w:lang w:val="ro-RO"/>
        </w:rPr>
        <w:t>Prin implementarea sistemului de management in</w:t>
      </w:r>
      <w:r>
        <w:rPr>
          <w:rFonts w:ascii="Palatino Linotype" w:eastAsia="Calibri" w:hAnsi="Palatino Linotype"/>
          <w:sz w:val="25"/>
          <w:szCs w:val="25"/>
          <w:lang w:val="ro-RO"/>
        </w:rPr>
        <w:t>tegrat al audierilor (SMIA), se operaţionalizează</w:t>
      </w:r>
      <w:r w:rsidRPr="004930A5">
        <w:rPr>
          <w:rFonts w:ascii="Palatino Linotype" w:eastAsia="Calibri" w:hAnsi="Palatino Linotype"/>
          <w:sz w:val="25"/>
          <w:szCs w:val="25"/>
          <w:lang w:val="ro-RO"/>
        </w:rPr>
        <w:t xml:space="preserve"> un sistem IT de audiere a persoanelor şi identificare a persoanelor şi obiectelor, în aco</w:t>
      </w:r>
      <w:r>
        <w:rPr>
          <w:rFonts w:ascii="Palatino Linotype" w:eastAsia="Calibri" w:hAnsi="Palatino Linotype"/>
          <w:sz w:val="25"/>
          <w:szCs w:val="25"/>
          <w:lang w:val="ro-RO"/>
        </w:rPr>
        <w:t>rd cu prevederile noilor coduri. Deşi concepu</w:t>
      </w:r>
      <w:r w:rsidRPr="004930A5">
        <w:rPr>
          <w:rFonts w:ascii="Palatino Linotype" w:eastAsia="Calibri" w:hAnsi="Palatino Linotype"/>
          <w:sz w:val="25"/>
          <w:szCs w:val="25"/>
          <w:lang w:val="ro-RO"/>
        </w:rPr>
        <w:t xml:space="preserve">tă iniţial </w:t>
      </w:r>
      <w:r>
        <w:rPr>
          <w:rFonts w:ascii="Palatino Linotype" w:eastAsia="Calibri" w:hAnsi="Palatino Linotype"/>
          <w:sz w:val="25"/>
          <w:szCs w:val="25"/>
          <w:lang w:val="ro-RO"/>
        </w:rPr>
        <w:t>pentru unităţile</w:t>
      </w:r>
      <w:r w:rsidRPr="004930A5">
        <w:rPr>
          <w:rFonts w:ascii="Palatino Linotype" w:eastAsia="Calibri" w:hAnsi="Palatino Linotype"/>
          <w:sz w:val="25"/>
          <w:szCs w:val="25"/>
          <w:lang w:val="ro-RO"/>
        </w:rPr>
        <w:t xml:space="preserve"> de parchet</w:t>
      </w:r>
      <w:r w:rsidRPr="004930A5">
        <w:rPr>
          <w:rFonts w:ascii="Palatino Linotype" w:eastAsia="Calibri" w:hAnsi="Palatino Linotype"/>
          <w:sz w:val="25"/>
          <w:szCs w:val="25"/>
          <w:lang w:val="ro-RO"/>
        </w:rPr>
        <w:t xml:space="preserve"> </w:t>
      </w:r>
      <w:r w:rsidRPr="004930A5">
        <w:rPr>
          <w:rFonts w:ascii="Palatino Linotype" w:eastAsia="Calibri" w:hAnsi="Palatino Linotype"/>
          <w:sz w:val="25"/>
          <w:szCs w:val="25"/>
          <w:lang w:val="ro-RO"/>
        </w:rPr>
        <w:t>nespecializate, conectarea la sistem a fost solicitată şi de DNA şi DIICOT</w:t>
      </w:r>
      <w:r w:rsidR="007F5905">
        <w:rPr>
          <w:rFonts w:ascii="Palatino Linotype" w:eastAsia="Calibri" w:hAnsi="Palatino Linotype"/>
          <w:sz w:val="25"/>
          <w:szCs w:val="25"/>
          <w:lang w:val="ro-RO"/>
        </w:rPr>
        <w:t>,</w:t>
      </w:r>
      <w:r w:rsidRPr="004930A5">
        <w:rPr>
          <w:rFonts w:ascii="Palatino Linotype" w:eastAsia="Calibri" w:hAnsi="Palatino Linotype"/>
          <w:sz w:val="25"/>
          <w:szCs w:val="25"/>
          <w:lang w:val="ro-RO"/>
        </w:rPr>
        <w:t xml:space="preserve"> datorită utilităţii sale pentru eficientizarea metodelor de lucru în activitatea de urmărire penală, precum şi a soluţiei informatice moderne pe care o foloseşte.</w:t>
      </w:r>
    </w:p>
    <w:p w14:paraId="32F3CB1B" w14:textId="054368D5" w:rsidR="004930A5" w:rsidRDefault="004930A5" w:rsidP="004930A5">
      <w:pPr>
        <w:spacing w:after="120"/>
        <w:ind w:firstLine="709"/>
        <w:jc w:val="both"/>
        <w:rPr>
          <w:rFonts w:ascii="Palatino Linotype" w:eastAsia="Calibri" w:hAnsi="Palatino Linotype"/>
          <w:sz w:val="25"/>
          <w:szCs w:val="25"/>
          <w:lang w:val="ro-RO"/>
        </w:rPr>
      </w:pPr>
      <w:r w:rsidRPr="004930A5">
        <w:rPr>
          <w:rFonts w:ascii="Palatino Linotype" w:eastAsia="Calibri" w:hAnsi="Palatino Linotype"/>
          <w:sz w:val="25"/>
          <w:szCs w:val="25"/>
          <w:lang w:val="ro-RO"/>
        </w:rPr>
        <w:t xml:space="preserve">Mulţumită unei finanţări din Fonduri structurale, am achiziţionat software de percheziţii informatice şi analiza informaţiilor pentru PICCJ, parchetele de pe lângă </w:t>
      </w:r>
      <w:r w:rsidR="007F5905" w:rsidRPr="004930A5">
        <w:rPr>
          <w:rFonts w:ascii="Palatino Linotype" w:eastAsia="Calibri" w:hAnsi="Palatino Linotype"/>
          <w:sz w:val="25"/>
          <w:szCs w:val="25"/>
          <w:lang w:val="ro-RO"/>
        </w:rPr>
        <w:t>curţile de apel</w:t>
      </w:r>
      <w:r w:rsidRPr="004930A5">
        <w:rPr>
          <w:rFonts w:ascii="Palatino Linotype" w:eastAsia="Calibri" w:hAnsi="Palatino Linotype"/>
          <w:sz w:val="25"/>
          <w:szCs w:val="25"/>
          <w:lang w:val="ro-RO"/>
        </w:rPr>
        <w:t>, DIICOT şi DNA, reducând considerabil durata de timp alocată analizei dispozitivelor informatice în cadrul urmăririi penale.</w:t>
      </w:r>
    </w:p>
    <w:p w14:paraId="06196EBA" w14:textId="1AD953AB" w:rsidR="00361B5F" w:rsidRPr="004930A5" w:rsidRDefault="00361B5F" w:rsidP="004930A5">
      <w:pPr>
        <w:spacing w:after="120"/>
        <w:ind w:firstLine="709"/>
        <w:jc w:val="both"/>
        <w:rPr>
          <w:rFonts w:ascii="Palatino Linotype" w:eastAsia="Calibri" w:hAnsi="Palatino Linotype"/>
          <w:sz w:val="25"/>
          <w:szCs w:val="25"/>
          <w:lang w:val="ro-RO"/>
        </w:rPr>
      </w:pPr>
      <w:r>
        <w:rPr>
          <w:rFonts w:ascii="Palatino Linotype" w:eastAsia="Calibri" w:hAnsi="Palatino Linotype"/>
          <w:sz w:val="25"/>
          <w:szCs w:val="25"/>
          <w:lang w:val="ro-RO"/>
        </w:rPr>
        <w:lastRenderedPageBreak/>
        <w:t xml:space="preserve">Cu sprijinul Guvernului, finanţarea pentru achiziţia sediului DIICOT a fost asigurată din 2020, astfel încât în acest an s-a rezolvat una dintre principalele probleme de infrastructură pentru parchetele din mun.Bucureşti. </w:t>
      </w:r>
    </w:p>
    <w:p w14:paraId="704ED952" w14:textId="2947F92B" w:rsidR="00DC2253" w:rsidRPr="00DC2253" w:rsidRDefault="00DC2253" w:rsidP="007F5905">
      <w:pPr>
        <w:spacing w:after="120"/>
        <w:jc w:val="both"/>
        <w:rPr>
          <w:rFonts w:ascii="Palatino Linotype" w:eastAsia="Calibri" w:hAnsi="Palatino Linotype"/>
          <w:color w:val="FF0000"/>
          <w:sz w:val="25"/>
          <w:szCs w:val="25"/>
          <w:lang w:val="ro-RO"/>
        </w:rPr>
      </w:pPr>
    </w:p>
    <w:p w14:paraId="1BF40FEF" w14:textId="77777777" w:rsidR="00DC2253" w:rsidRPr="008B368B" w:rsidRDefault="00DC2253" w:rsidP="00152A10">
      <w:pPr>
        <w:shd w:val="clear" w:color="auto" w:fill="DEEAF6" w:themeFill="accent1" w:themeFillTint="33"/>
        <w:spacing w:after="120"/>
        <w:ind w:firstLine="709"/>
        <w:jc w:val="both"/>
        <w:rPr>
          <w:rFonts w:ascii="Palatino Linotype" w:eastAsia="Calibri" w:hAnsi="Palatino Linotype"/>
          <w:b/>
          <w:sz w:val="25"/>
          <w:szCs w:val="25"/>
          <w:lang w:val="ro-RO"/>
        </w:rPr>
      </w:pPr>
      <w:r w:rsidRPr="008B368B">
        <w:rPr>
          <w:rFonts w:ascii="Palatino Linotype" w:eastAsia="Calibri" w:hAnsi="Palatino Linotype"/>
          <w:b/>
          <w:sz w:val="25"/>
          <w:szCs w:val="25"/>
          <w:lang w:val="ro-RO"/>
        </w:rPr>
        <w:t xml:space="preserve">Repere externe pentru activitatea MP </w:t>
      </w:r>
    </w:p>
    <w:p w14:paraId="7D140216" w14:textId="77777777" w:rsidR="009C617D" w:rsidRDefault="009C617D" w:rsidP="00152A10">
      <w:pPr>
        <w:spacing w:after="120"/>
        <w:ind w:firstLine="709"/>
        <w:jc w:val="both"/>
        <w:rPr>
          <w:rFonts w:ascii="Palatino Linotype" w:eastAsia="Calibri" w:hAnsi="Palatino Linotype"/>
          <w:sz w:val="25"/>
          <w:szCs w:val="25"/>
          <w:lang w:val="ro-RO"/>
        </w:rPr>
      </w:pPr>
    </w:p>
    <w:p w14:paraId="03A10407" w14:textId="77777777" w:rsidR="00DC2253" w:rsidRPr="00480CC7" w:rsidRDefault="00DC2253" w:rsidP="00152A10">
      <w:pPr>
        <w:spacing w:after="120"/>
        <w:ind w:firstLine="709"/>
        <w:jc w:val="both"/>
        <w:rPr>
          <w:rFonts w:ascii="Palatino Linotype" w:eastAsia="Calibri" w:hAnsi="Palatino Linotype"/>
          <w:sz w:val="25"/>
          <w:szCs w:val="25"/>
          <w:lang w:val="ro-RO"/>
        </w:rPr>
      </w:pPr>
      <w:r w:rsidRPr="00480CC7">
        <w:rPr>
          <w:rFonts w:ascii="Palatino Linotype" w:eastAsia="Calibri" w:hAnsi="Palatino Linotype"/>
          <w:sz w:val="25"/>
          <w:szCs w:val="25"/>
          <w:lang w:val="ro-RO"/>
        </w:rPr>
        <w:t>Cele trei rapoarte de activitate conţin referiri la modificările legislative importante şi la orientările jurisprudenţiale (Curtea Constituţională, Înalta Curte de Cas</w:t>
      </w:r>
      <w:r w:rsidR="00D35A7B">
        <w:rPr>
          <w:rFonts w:ascii="Palatino Linotype" w:eastAsia="Calibri" w:hAnsi="Palatino Linotype"/>
          <w:sz w:val="25"/>
          <w:szCs w:val="25"/>
          <w:lang w:val="ro-RO"/>
        </w:rPr>
        <w:t>a</w:t>
      </w:r>
      <w:r w:rsidRPr="00480CC7">
        <w:rPr>
          <w:rFonts w:ascii="Palatino Linotype" w:eastAsia="Calibri" w:hAnsi="Palatino Linotype"/>
          <w:sz w:val="25"/>
          <w:szCs w:val="25"/>
          <w:lang w:val="ro-RO"/>
        </w:rPr>
        <w:t xml:space="preserve">ţie şi Justiţie) intervenite în fiecare an şi care au determinat un impact semnificativ asupra capacităţii de funcţionare a MP. </w:t>
      </w:r>
    </w:p>
    <w:p w14:paraId="532421BC" w14:textId="77777777" w:rsidR="00DC2253" w:rsidRDefault="00DC2253" w:rsidP="00152A10">
      <w:pPr>
        <w:spacing w:after="120"/>
        <w:ind w:firstLine="709"/>
        <w:jc w:val="both"/>
        <w:rPr>
          <w:rFonts w:ascii="Palatino Linotype" w:eastAsia="Calibri" w:hAnsi="Palatino Linotype"/>
          <w:sz w:val="25"/>
          <w:szCs w:val="25"/>
          <w:lang w:val="ro-RO"/>
        </w:rPr>
      </w:pPr>
      <w:r w:rsidRPr="00480CC7">
        <w:rPr>
          <w:rFonts w:ascii="Palatino Linotype" w:eastAsia="Calibri" w:hAnsi="Palatino Linotype"/>
          <w:sz w:val="25"/>
          <w:szCs w:val="25"/>
          <w:lang w:val="ro-RO"/>
        </w:rPr>
        <w:t xml:space="preserve">Deja evocate, deciziile privind competenţa DNA şi DIICOT în caz de disjungere au condus la o supraîncărcare a parchetelor de pe lângă tribunale. În acelaşi timp, aspecte observate în cadrul soluţionării conflictelor de competenţă m-au determinat să semnalez procurorului şef adjunct al DIICOT unele abordări mai sumar motivate privind clasarea pentru infracţiunea de constituire a unui grup infracţional organizat. </w:t>
      </w:r>
    </w:p>
    <w:p w14:paraId="2C2F150C" w14:textId="77777777" w:rsidR="00764874" w:rsidRPr="00480CC7" w:rsidRDefault="00764874" w:rsidP="00152A10">
      <w:pPr>
        <w:spacing w:after="120"/>
        <w:ind w:firstLine="709"/>
        <w:jc w:val="both"/>
        <w:rPr>
          <w:rFonts w:ascii="Palatino Linotype" w:eastAsia="Calibri" w:hAnsi="Palatino Linotype"/>
          <w:sz w:val="25"/>
          <w:szCs w:val="25"/>
          <w:lang w:val="ro-RO"/>
        </w:rPr>
      </w:pPr>
      <w:r>
        <w:rPr>
          <w:rFonts w:ascii="Palatino Linotype" w:eastAsia="Calibri" w:hAnsi="Palatino Linotype"/>
          <w:sz w:val="25"/>
          <w:szCs w:val="25"/>
          <w:lang w:val="ro-RO"/>
        </w:rPr>
        <w:t xml:space="preserve">Actele de control ale Inspecţiei Judiciare ne permit să evaluăm domeniile în care acţiunea de coordonare a PÎCCJ trebuie să se manifeste punctual. </w:t>
      </w:r>
    </w:p>
    <w:p w14:paraId="2547287B" w14:textId="77777777" w:rsidR="00DC2253" w:rsidRPr="00480CC7" w:rsidRDefault="00DC2253" w:rsidP="00152A10">
      <w:pPr>
        <w:spacing w:after="120"/>
        <w:ind w:firstLine="709"/>
        <w:jc w:val="both"/>
        <w:rPr>
          <w:rFonts w:ascii="Palatino Linotype" w:eastAsia="Calibri" w:hAnsi="Palatino Linotype"/>
          <w:sz w:val="25"/>
          <w:szCs w:val="25"/>
          <w:lang w:val="ro-RO"/>
        </w:rPr>
      </w:pPr>
      <w:r w:rsidRPr="00480CC7">
        <w:rPr>
          <w:rFonts w:ascii="Palatino Linotype" w:eastAsia="Calibri" w:hAnsi="Palatino Linotype"/>
          <w:sz w:val="25"/>
          <w:szCs w:val="25"/>
          <w:lang w:val="ro-RO"/>
        </w:rPr>
        <w:t>2022 a constituit primul an în care s-a aplicat integral art.10 din Legea pentru prevenirea şi combaterea evaziunii fiscale, astfel încât va fi nevoie să măsurăm rezultatele, în termeni cantitativi (dosare soluţionate şi sume recuperate</w:t>
      </w:r>
      <w:r w:rsidR="00D35A7B">
        <w:rPr>
          <w:rFonts w:ascii="Palatino Linotype" w:eastAsia="Calibri" w:hAnsi="Palatino Linotype"/>
          <w:sz w:val="25"/>
          <w:szCs w:val="25"/>
          <w:lang w:val="ro-RO"/>
        </w:rPr>
        <w:t xml:space="preserve"> pentru bugetul de stat</w:t>
      </w:r>
      <w:r w:rsidRPr="00480CC7">
        <w:rPr>
          <w:rFonts w:ascii="Palatino Linotype" w:eastAsia="Calibri" w:hAnsi="Palatino Linotype"/>
          <w:sz w:val="25"/>
          <w:szCs w:val="25"/>
          <w:lang w:val="ro-RO"/>
        </w:rPr>
        <w:t xml:space="preserve">). </w:t>
      </w:r>
    </w:p>
    <w:p w14:paraId="35E8B639" w14:textId="77777777" w:rsidR="00DC2253" w:rsidRPr="00DC2253" w:rsidRDefault="00DC2253" w:rsidP="00152A10">
      <w:pPr>
        <w:spacing w:after="120"/>
        <w:ind w:firstLine="709"/>
        <w:jc w:val="both"/>
        <w:rPr>
          <w:rFonts w:ascii="Palatino Linotype" w:eastAsia="Calibri" w:hAnsi="Palatino Linotype"/>
          <w:color w:val="FF0000"/>
          <w:sz w:val="25"/>
          <w:szCs w:val="25"/>
          <w:lang w:val="ro-RO"/>
        </w:rPr>
      </w:pPr>
    </w:p>
    <w:p w14:paraId="3BA383BF" w14:textId="77777777" w:rsidR="00DC2253" w:rsidRPr="00D35A7B" w:rsidRDefault="00DC2253" w:rsidP="00152A10">
      <w:pPr>
        <w:shd w:val="clear" w:color="auto" w:fill="DEEAF6" w:themeFill="accent1" w:themeFillTint="33"/>
        <w:spacing w:after="120"/>
        <w:ind w:firstLine="709"/>
        <w:jc w:val="both"/>
        <w:rPr>
          <w:rFonts w:ascii="Palatino Linotype" w:eastAsia="Calibri" w:hAnsi="Palatino Linotype"/>
          <w:b/>
          <w:sz w:val="25"/>
          <w:szCs w:val="25"/>
          <w:lang w:val="ro-RO"/>
        </w:rPr>
      </w:pPr>
      <w:r w:rsidRPr="00D35A7B">
        <w:rPr>
          <w:rFonts w:ascii="Palatino Linotype" w:eastAsia="Calibri" w:hAnsi="Palatino Linotype"/>
          <w:b/>
          <w:sz w:val="25"/>
          <w:szCs w:val="25"/>
          <w:lang w:val="ro-RO"/>
        </w:rPr>
        <w:t xml:space="preserve">Obiectivele stabilite şi aplicate în anul 2022 </w:t>
      </w:r>
    </w:p>
    <w:p w14:paraId="0B020477" w14:textId="77777777" w:rsidR="009C617D" w:rsidRDefault="009C617D" w:rsidP="00152A10">
      <w:pPr>
        <w:spacing w:after="120"/>
        <w:ind w:firstLine="709"/>
        <w:jc w:val="both"/>
        <w:rPr>
          <w:rFonts w:ascii="Palatino Linotype" w:eastAsia="Calibri" w:hAnsi="Palatino Linotype"/>
          <w:sz w:val="25"/>
          <w:szCs w:val="25"/>
          <w:lang w:val="ro-RO"/>
        </w:rPr>
      </w:pPr>
    </w:p>
    <w:p w14:paraId="6772070B" w14:textId="77777777" w:rsidR="00DC2253" w:rsidRPr="00764874" w:rsidRDefault="00DC2253" w:rsidP="00152A10">
      <w:pPr>
        <w:spacing w:after="120"/>
        <w:ind w:firstLine="709"/>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t xml:space="preserve">Rapoartele de activitate au fost înaintate în termenele legale Consiliului Superior al Magistraturii şi ministrului justiţiei. </w:t>
      </w:r>
    </w:p>
    <w:p w14:paraId="1C852B95" w14:textId="77777777" w:rsidR="00DC2253" w:rsidRPr="00764874" w:rsidRDefault="00DC2253" w:rsidP="00152A10">
      <w:pPr>
        <w:spacing w:after="120"/>
        <w:ind w:firstLine="709"/>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t xml:space="preserve">Participând (on-line) la prezentarea rapoartelor de activitate ale PCA, </w:t>
      </w:r>
      <w:r w:rsidR="009C617D">
        <w:rPr>
          <w:rFonts w:ascii="Palatino Linotype" w:eastAsia="Calibri" w:hAnsi="Palatino Linotype"/>
          <w:sz w:val="25"/>
          <w:szCs w:val="25"/>
          <w:lang w:val="ro-RO"/>
        </w:rPr>
        <w:t xml:space="preserve">precum și la adunările generale ale </w:t>
      </w:r>
      <w:r w:rsidRPr="00764874">
        <w:rPr>
          <w:rFonts w:ascii="Palatino Linotype" w:eastAsia="Calibri" w:hAnsi="Palatino Linotype"/>
          <w:sz w:val="25"/>
          <w:szCs w:val="25"/>
          <w:lang w:val="ro-RO"/>
        </w:rPr>
        <w:t>DNA şi DIICOT, reprezentanţii PÎCCJ au transmis direcţiile prioritare</w:t>
      </w:r>
      <w:r w:rsidR="00D35A7B">
        <w:rPr>
          <w:rFonts w:ascii="Palatino Linotype" w:eastAsia="Calibri" w:hAnsi="Palatino Linotype"/>
          <w:sz w:val="25"/>
          <w:szCs w:val="25"/>
          <w:lang w:val="ro-RO"/>
        </w:rPr>
        <w:t xml:space="preserve"> pentru anul 2022</w:t>
      </w:r>
      <w:r w:rsidRPr="00764874">
        <w:rPr>
          <w:rFonts w:ascii="Palatino Linotype" w:eastAsia="Calibri" w:hAnsi="Palatino Linotype"/>
          <w:sz w:val="25"/>
          <w:szCs w:val="25"/>
          <w:lang w:val="ro-RO"/>
        </w:rPr>
        <w:t xml:space="preserve">, pentru a fi aplicate în activitate. </w:t>
      </w:r>
    </w:p>
    <w:p w14:paraId="3BE5ACE6" w14:textId="77777777" w:rsidR="00DC2253" w:rsidRPr="00764874" w:rsidRDefault="00DC2253" w:rsidP="00152A10">
      <w:pPr>
        <w:spacing w:after="120"/>
        <w:ind w:firstLine="709"/>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t xml:space="preserve">Astăzi este doar ziua prezentării rapoartelor în mod public. </w:t>
      </w:r>
    </w:p>
    <w:p w14:paraId="7526CF1D" w14:textId="77777777" w:rsidR="00DC2253" w:rsidRPr="00764874" w:rsidRDefault="00DC2253" w:rsidP="00152A10">
      <w:pPr>
        <w:spacing w:after="120"/>
        <w:ind w:firstLine="709"/>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t xml:space="preserve">Reafirm că anul 2022 rămâne sub semnul </w:t>
      </w:r>
      <w:r w:rsidRPr="00764874">
        <w:rPr>
          <w:rFonts w:ascii="Palatino Linotype" w:eastAsia="Calibri" w:hAnsi="Palatino Linotype"/>
          <w:b/>
          <w:sz w:val="25"/>
          <w:szCs w:val="25"/>
          <w:lang w:val="ro-RO"/>
        </w:rPr>
        <w:t>priorităților de acțiune</w:t>
      </w:r>
      <w:r w:rsidR="00D35A7B">
        <w:rPr>
          <w:rFonts w:ascii="Palatino Linotype" w:eastAsia="Calibri" w:hAnsi="Palatino Linotype"/>
          <w:b/>
          <w:sz w:val="25"/>
          <w:szCs w:val="25"/>
          <w:lang w:val="ro-RO"/>
        </w:rPr>
        <w:t xml:space="preserve"> </w:t>
      </w:r>
      <w:r w:rsidR="00D35A7B" w:rsidRPr="00D35A7B">
        <w:rPr>
          <w:rFonts w:ascii="Palatino Linotype" w:eastAsia="Calibri" w:hAnsi="Palatino Linotype"/>
          <w:sz w:val="25"/>
          <w:szCs w:val="25"/>
          <w:lang w:val="ro-RO"/>
        </w:rPr>
        <w:t>următoare</w:t>
      </w:r>
      <w:r w:rsidRPr="00764874">
        <w:rPr>
          <w:rFonts w:ascii="Palatino Linotype" w:eastAsia="Calibri" w:hAnsi="Palatino Linotype"/>
          <w:sz w:val="25"/>
          <w:szCs w:val="25"/>
          <w:lang w:val="ro-RO"/>
        </w:rPr>
        <w:t>:</w:t>
      </w:r>
    </w:p>
    <w:p w14:paraId="6CE48A63" w14:textId="77777777" w:rsidR="00DC2253" w:rsidRPr="00764874" w:rsidRDefault="00DC2253" w:rsidP="00152A10">
      <w:pPr>
        <w:ind w:firstLine="706"/>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t>-  Mecanismul de Cooperare și Verificare, statul de drept;</w:t>
      </w:r>
    </w:p>
    <w:p w14:paraId="169DE5BD" w14:textId="77777777" w:rsidR="00DC2253" w:rsidRPr="00764874" w:rsidRDefault="00DC2253" w:rsidP="00152A10">
      <w:pPr>
        <w:ind w:firstLine="706"/>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t>- consolidarea progreselor - corupție, evaziune fiscală, spălarea banilor, recuperarea prejudiciilor;</w:t>
      </w:r>
    </w:p>
    <w:p w14:paraId="42833B2F" w14:textId="77777777" w:rsidR="00DC2253" w:rsidRPr="00764874" w:rsidRDefault="00DC2253" w:rsidP="00152A10">
      <w:pPr>
        <w:ind w:firstLine="706"/>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t>- eficientizarea investigării – mediu, trafic de persoane, criminalitate organizată;</w:t>
      </w:r>
    </w:p>
    <w:p w14:paraId="3F824467" w14:textId="77777777" w:rsidR="00DC2253" w:rsidRPr="00764874" w:rsidRDefault="00DC2253" w:rsidP="00152A10">
      <w:pPr>
        <w:ind w:firstLine="706"/>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t>- protecția victimelor – violență domestică, minori, discriminare;</w:t>
      </w:r>
    </w:p>
    <w:p w14:paraId="03870474" w14:textId="77777777" w:rsidR="00DC2253" w:rsidRPr="00764874" w:rsidRDefault="00DC2253" w:rsidP="00152A10">
      <w:pPr>
        <w:ind w:firstLine="706"/>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lastRenderedPageBreak/>
        <w:t>- promovarea/susținerea unei strategii de resurse umane care să permită un act de justiție eficient;</w:t>
      </w:r>
    </w:p>
    <w:p w14:paraId="6DC2923B" w14:textId="77777777" w:rsidR="00DC2253" w:rsidRPr="00764874" w:rsidRDefault="00DC2253" w:rsidP="00152A10">
      <w:pPr>
        <w:ind w:firstLine="706"/>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t>- promovarea unei agende privind aderarea la standardele etice și de integritate comune la nivel european;</w:t>
      </w:r>
    </w:p>
    <w:p w14:paraId="5C70D532" w14:textId="77777777" w:rsidR="00DC2253" w:rsidRPr="00764874" w:rsidRDefault="00DC2253" w:rsidP="00152A10">
      <w:pPr>
        <w:ind w:firstLine="706"/>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t>- coordonarea eficientă a cercetării penale desfășurate de organele de poliție.</w:t>
      </w:r>
    </w:p>
    <w:p w14:paraId="6FAFD16D" w14:textId="77777777" w:rsidR="00DC2253" w:rsidRPr="00764874" w:rsidRDefault="00DC2253" w:rsidP="00152A10">
      <w:pPr>
        <w:spacing w:after="120"/>
        <w:ind w:firstLine="709"/>
        <w:jc w:val="both"/>
        <w:rPr>
          <w:rFonts w:ascii="Palatino Linotype" w:eastAsia="Calibri" w:hAnsi="Palatino Linotype"/>
          <w:sz w:val="25"/>
          <w:szCs w:val="25"/>
          <w:lang w:val="ro-RO"/>
        </w:rPr>
      </w:pPr>
    </w:p>
    <w:p w14:paraId="470242E0" w14:textId="15BD19EE" w:rsidR="00DC2253" w:rsidRDefault="00DC2253" w:rsidP="00152A10">
      <w:pPr>
        <w:spacing w:after="120"/>
        <w:ind w:firstLine="709"/>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t>Vă adresez mulţumiri pentru efortul de adaptare într-o situaţie atipică şi pentru situaţiile grele depăşite, orientaţi spre realizarea misiunii insti</w:t>
      </w:r>
      <w:r w:rsidR="00764874">
        <w:rPr>
          <w:rFonts w:ascii="Palatino Linotype" w:eastAsia="Calibri" w:hAnsi="Palatino Linotype"/>
          <w:sz w:val="25"/>
          <w:szCs w:val="25"/>
          <w:lang w:val="ro-RO"/>
        </w:rPr>
        <w:t>tuţiilor de parchet</w:t>
      </w:r>
      <w:r w:rsidRPr="00764874">
        <w:rPr>
          <w:rFonts w:ascii="Palatino Linotype" w:eastAsia="Calibri" w:hAnsi="Palatino Linotype"/>
          <w:sz w:val="25"/>
          <w:szCs w:val="25"/>
          <w:lang w:val="ro-RO"/>
        </w:rPr>
        <w:t>. Îi mulţumesc domnului ministru Predoiu pentru încredere şi pentru deschiderea arătată MP, transpusă în dispoziţiile proiectelor pentru „legile justiţiei”. Vă asigur de respectul meu, de angajamentul echipei de conducere (în formula anterioară şi în cea actuală)</w:t>
      </w:r>
      <w:r w:rsidR="008B368B">
        <w:rPr>
          <w:rFonts w:ascii="Palatino Linotype" w:eastAsia="Calibri" w:hAnsi="Palatino Linotype"/>
          <w:sz w:val="25"/>
          <w:szCs w:val="25"/>
          <w:lang w:val="ro-RO"/>
        </w:rPr>
        <w:t xml:space="preserve"> împreună cu conducerile DNA şi DIICOT</w:t>
      </w:r>
      <w:r w:rsidRPr="00764874">
        <w:rPr>
          <w:rFonts w:ascii="Palatino Linotype" w:eastAsia="Calibri" w:hAnsi="Palatino Linotype"/>
          <w:sz w:val="25"/>
          <w:szCs w:val="25"/>
          <w:lang w:val="ro-RO"/>
        </w:rPr>
        <w:t xml:space="preserve">. </w:t>
      </w:r>
    </w:p>
    <w:p w14:paraId="12987929" w14:textId="5A291F4D" w:rsidR="00E12140" w:rsidRPr="00764874" w:rsidRDefault="00E12140" w:rsidP="00152A10">
      <w:pPr>
        <w:spacing w:after="120"/>
        <w:ind w:firstLine="709"/>
        <w:jc w:val="both"/>
        <w:rPr>
          <w:rFonts w:ascii="Palatino Linotype" w:eastAsia="Calibri" w:hAnsi="Palatino Linotype"/>
          <w:sz w:val="25"/>
          <w:szCs w:val="25"/>
          <w:lang w:val="ro-RO"/>
        </w:rPr>
      </w:pPr>
      <w:r>
        <w:rPr>
          <w:rFonts w:ascii="Palatino Linotype" w:eastAsia="Calibri" w:hAnsi="Palatino Linotype"/>
          <w:sz w:val="25"/>
          <w:szCs w:val="25"/>
          <w:lang w:val="ro-RO"/>
        </w:rPr>
        <w:t xml:space="preserve">Rezultatele din perioada analizată se datorează şi colegilor care au decis să-şi încheie cariera în magistratură. Am fost împreună un lung interval, de timp şi de provocări. Tuturor le transmit respectul meu şi doresc să punctez regretul că nu a fost posibilă continuarea colaborării </w:t>
      </w:r>
      <w:r w:rsidR="00104E3E">
        <w:rPr>
          <w:rFonts w:ascii="Palatino Linotype" w:eastAsia="Calibri" w:hAnsi="Palatino Linotype"/>
          <w:sz w:val="25"/>
          <w:szCs w:val="25"/>
          <w:lang w:val="ro-RO"/>
        </w:rPr>
        <w:t xml:space="preserve">în special </w:t>
      </w:r>
      <w:bookmarkStart w:id="0" w:name="_GoBack"/>
      <w:bookmarkEnd w:id="0"/>
      <w:r>
        <w:rPr>
          <w:rFonts w:ascii="Palatino Linotype" w:eastAsia="Calibri" w:hAnsi="Palatino Linotype"/>
          <w:sz w:val="25"/>
          <w:szCs w:val="25"/>
          <w:lang w:val="ro-RO"/>
        </w:rPr>
        <w:t xml:space="preserve">cu foştii procurori generali de la Galaţi şi Bacău. </w:t>
      </w:r>
    </w:p>
    <w:p w14:paraId="3CCC6404" w14:textId="77777777" w:rsidR="00DC2253" w:rsidRPr="00764874" w:rsidRDefault="00DC2253" w:rsidP="00152A10">
      <w:pPr>
        <w:spacing w:after="120"/>
        <w:ind w:firstLine="709"/>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t xml:space="preserve">Pentru mine, în exercitarea acestui mandat, </w:t>
      </w:r>
      <w:r w:rsidRPr="00764874">
        <w:rPr>
          <w:rFonts w:ascii="Palatino Linotype" w:eastAsia="Calibri" w:hAnsi="Palatino Linotype"/>
          <w:b/>
          <w:sz w:val="25"/>
          <w:szCs w:val="25"/>
          <w:lang w:val="ro-RO"/>
        </w:rPr>
        <w:t>coeziunea</w:t>
      </w:r>
      <w:r w:rsidRPr="00764874">
        <w:rPr>
          <w:rFonts w:ascii="Palatino Linotype" w:eastAsia="Calibri" w:hAnsi="Palatino Linotype"/>
          <w:sz w:val="25"/>
          <w:szCs w:val="25"/>
          <w:lang w:val="ro-RO"/>
        </w:rPr>
        <w:t xml:space="preserve"> şi </w:t>
      </w:r>
      <w:r w:rsidRPr="00764874">
        <w:rPr>
          <w:rFonts w:ascii="Palatino Linotype" w:eastAsia="Calibri" w:hAnsi="Palatino Linotype"/>
          <w:b/>
          <w:sz w:val="25"/>
          <w:szCs w:val="25"/>
          <w:lang w:val="ro-RO"/>
        </w:rPr>
        <w:t>coerenţa</w:t>
      </w:r>
      <w:r w:rsidRPr="00764874">
        <w:rPr>
          <w:rFonts w:ascii="Palatino Linotype" w:eastAsia="Calibri" w:hAnsi="Palatino Linotype"/>
          <w:sz w:val="25"/>
          <w:szCs w:val="25"/>
          <w:lang w:val="ro-RO"/>
        </w:rPr>
        <w:t xml:space="preserve"> sunt factori cheie pentru atingerea rezultatelor. Este de datoria conducerii MP să promoveze dialogul eficient şi constructiv cu toate i</w:t>
      </w:r>
      <w:r w:rsidR="008B368B">
        <w:rPr>
          <w:rFonts w:ascii="Palatino Linotype" w:eastAsia="Calibri" w:hAnsi="Palatino Linotype"/>
          <w:sz w:val="25"/>
          <w:szCs w:val="25"/>
          <w:lang w:val="ro-RO"/>
        </w:rPr>
        <w:t>nstituţiile cu care colaborează</w:t>
      </w:r>
      <w:r w:rsidRPr="00764874">
        <w:rPr>
          <w:rFonts w:ascii="Palatino Linotype" w:eastAsia="Calibri" w:hAnsi="Palatino Linotype"/>
          <w:sz w:val="25"/>
          <w:szCs w:val="25"/>
          <w:lang w:val="ro-RO"/>
        </w:rPr>
        <w:t xml:space="preserve"> şi îmi exprim speranţa că veţi evalua pozitiv raporturile noastre de lucru.</w:t>
      </w:r>
    </w:p>
    <w:p w14:paraId="0825C2BA" w14:textId="77777777" w:rsidR="0096782B" w:rsidRPr="00542D8F" w:rsidRDefault="00DC2253" w:rsidP="00542D8F">
      <w:pPr>
        <w:spacing w:after="120"/>
        <w:ind w:firstLine="709"/>
        <w:jc w:val="both"/>
        <w:rPr>
          <w:rFonts w:ascii="Palatino Linotype" w:eastAsia="Calibri" w:hAnsi="Palatino Linotype"/>
          <w:sz w:val="25"/>
          <w:szCs w:val="25"/>
          <w:lang w:val="ro-RO"/>
        </w:rPr>
      </w:pPr>
      <w:r w:rsidRPr="00764874">
        <w:rPr>
          <w:rFonts w:ascii="Palatino Linotype" w:eastAsia="Calibri" w:hAnsi="Palatino Linotype"/>
          <w:sz w:val="25"/>
          <w:szCs w:val="25"/>
          <w:lang w:val="ro-RO"/>
        </w:rPr>
        <w:t>Vă mulţumesc pentru atenţia dumneavoastră.</w:t>
      </w:r>
    </w:p>
    <w:sectPr w:rsidR="0096782B" w:rsidRPr="00542D8F" w:rsidSect="0007018C">
      <w:headerReference w:type="even" r:id="rId8"/>
      <w:headerReference w:type="default" r:id="rId9"/>
      <w:footerReference w:type="even" r:id="rId10"/>
      <w:footerReference w:type="default" r:id="rId11"/>
      <w:headerReference w:type="first" r:id="rId12"/>
      <w:footerReference w:type="first" r:id="rId13"/>
      <w:pgSz w:w="11906" w:h="16838" w:code="9"/>
      <w:pgMar w:top="1021" w:right="1021" w:bottom="1021" w:left="1701" w:header="567"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4CA3A5" w16cid:durableId="26D694C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902C9" w14:textId="77777777" w:rsidR="00604BC1" w:rsidRDefault="00604BC1">
      <w:r>
        <w:separator/>
      </w:r>
    </w:p>
  </w:endnote>
  <w:endnote w:type="continuationSeparator" w:id="0">
    <w:p w14:paraId="55711546" w14:textId="77777777" w:rsidR="00604BC1" w:rsidRDefault="0060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A211F" w14:textId="77777777" w:rsidR="00102925" w:rsidRDefault="0010292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A9159" w14:textId="77777777" w:rsidR="00102925" w:rsidRPr="00F772D4" w:rsidRDefault="00102925" w:rsidP="000A55C9">
    <w:pPr>
      <w:pStyle w:val="Footer"/>
      <w:jc w:val="center"/>
      <w:rPr>
        <w:color w:val="2F5496" w:themeColor="accent5" w:themeShade="BF"/>
      </w:rPr>
    </w:pPr>
    <w:r w:rsidRPr="00F772D4">
      <w:rPr>
        <w:color w:val="2F5496" w:themeColor="accent5" w:themeShade="BF"/>
      </w:rPr>
      <w:t xml:space="preserve">ROMÂNIA, </w:t>
    </w:r>
    <w:r w:rsidRPr="00F772D4">
      <w:rPr>
        <w:color w:val="2F5496" w:themeColor="accent5" w:themeShade="BF"/>
        <w:lang w:val="ro-RO"/>
      </w:rPr>
      <w:t>București, Bvd. Libertăţii</w:t>
    </w:r>
    <w:r w:rsidRPr="00F772D4">
      <w:rPr>
        <w:color w:val="2F5496" w:themeColor="accent5" w:themeShade="BF"/>
      </w:rPr>
      <w:t>, nr.12-14, Sector 5</w:t>
    </w:r>
  </w:p>
  <w:p w14:paraId="2476AF51" w14:textId="2761B4F0" w:rsidR="00102925" w:rsidRPr="00F772D4" w:rsidRDefault="00102925" w:rsidP="000A55C9">
    <w:pPr>
      <w:pStyle w:val="Footer"/>
      <w:jc w:val="right"/>
      <w:rPr>
        <w:color w:val="2F5496" w:themeColor="accent5" w:themeShade="BF"/>
      </w:rPr>
    </w:pPr>
    <w:r w:rsidRPr="00F772D4">
      <w:rPr>
        <w:color w:val="2F5496" w:themeColor="accent5" w:themeShade="BF"/>
        <w:lang w:val="en-AU"/>
      </w:rPr>
      <w:t>sesizare@mpublic.ro      www.mpublic.ro</w:t>
    </w:r>
    <w:sdt>
      <w:sdtPr>
        <w:rPr>
          <w:color w:val="2F5496" w:themeColor="accent5" w:themeShade="BF"/>
        </w:rPr>
        <w:id w:val="-2139552182"/>
        <w:docPartObj>
          <w:docPartGallery w:val="Page Numbers (Bottom of Page)"/>
          <w:docPartUnique/>
        </w:docPartObj>
      </w:sdtPr>
      <w:sdtEndPr>
        <w:rPr>
          <w:noProof/>
        </w:rPr>
      </w:sdtEndPr>
      <w:sdtContent>
        <w:r w:rsidRPr="00F772D4">
          <w:rPr>
            <w:color w:val="2F5496" w:themeColor="accent5" w:themeShade="BF"/>
          </w:rPr>
          <w:t xml:space="preserve">                                                                 </w:t>
        </w:r>
        <w:r w:rsidRPr="00F772D4">
          <w:rPr>
            <w:color w:val="2F5496" w:themeColor="accent5" w:themeShade="BF"/>
          </w:rPr>
          <w:fldChar w:fldCharType="begin"/>
        </w:r>
        <w:r w:rsidRPr="00F772D4">
          <w:rPr>
            <w:color w:val="2F5496" w:themeColor="accent5" w:themeShade="BF"/>
          </w:rPr>
          <w:instrText xml:space="preserve"> PAGE   \* MERGEFORMAT </w:instrText>
        </w:r>
        <w:r w:rsidRPr="00F772D4">
          <w:rPr>
            <w:color w:val="2F5496" w:themeColor="accent5" w:themeShade="BF"/>
          </w:rPr>
          <w:fldChar w:fldCharType="separate"/>
        </w:r>
        <w:r w:rsidR="00C96F47">
          <w:rPr>
            <w:noProof/>
            <w:color w:val="2F5496" w:themeColor="accent5" w:themeShade="BF"/>
          </w:rPr>
          <w:t>8</w:t>
        </w:r>
        <w:r w:rsidRPr="00F772D4">
          <w:rPr>
            <w:noProof/>
            <w:color w:val="2F5496" w:themeColor="accent5" w:themeShade="BF"/>
          </w:rPr>
          <w:fldChar w:fldCharType="end"/>
        </w:r>
      </w:sdtContent>
    </w:sdt>
  </w:p>
  <w:p w14:paraId="783081CD" w14:textId="77777777" w:rsidR="00102925" w:rsidRDefault="00102925" w:rsidP="00F53312"/>
  <w:p w14:paraId="77F08B55" w14:textId="77777777" w:rsidR="00102925" w:rsidRPr="001E2697" w:rsidRDefault="00102925" w:rsidP="00F53312">
    <w:pPr>
      <w:pStyle w:val="Footer"/>
    </w:pPr>
  </w:p>
  <w:p w14:paraId="621E3171" w14:textId="77777777" w:rsidR="00102925" w:rsidRPr="001E2697" w:rsidRDefault="00102925" w:rsidP="0010292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F7245" w14:textId="77777777" w:rsidR="00102925" w:rsidRDefault="00102925" w:rsidP="00102925">
    <w:pPr>
      <w:pStyle w:val="Footer"/>
      <w:jc w:val="center"/>
    </w:pPr>
  </w:p>
  <w:p w14:paraId="54DFAE63" w14:textId="77777777" w:rsidR="00102925" w:rsidRPr="00F772D4" w:rsidRDefault="00102925" w:rsidP="00F55E30">
    <w:pPr>
      <w:pStyle w:val="Footer"/>
      <w:jc w:val="center"/>
      <w:rPr>
        <w:color w:val="2F5496" w:themeColor="accent5" w:themeShade="BF"/>
      </w:rPr>
    </w:pPr>
    <w:r w:rsidRPr="00F772D4">
      <w:rPr>
        <w:color w:val="2F5496" w:themeColor="accent5" w:themeShade="BF"/>
      </w:rPr>
      <w:t xml:space="preserve">ROMÂNIA, </w:t>
    </w:r>
    <w:r w:rsidRPr="00F772D4">
      <w:rPr>
        <w:color w:val="2F5496" w:themeColor="accent5" w:themeShade="BF"/>
        <w:lang w:val="ro-RO"/>
      </w:rPr>
      <w:t>București, Bvd. Libertăţii</w:t>
    </w:r>
    <w:r w:rsidRPr="00F772D4">
      <w:rPr>
        <w:color w:val="2F5496" w:themeColor="accent5" w:themeShade="BF"/>
      </w:rPr>
      <w:t>, nr.12-14, Sector 5</w:t>
    </w:r>
  </w:p>
  <w:p w14:paraId="2431E668" w14:textId="2467F88F" w:rsidR="00102925" w:rsidRPr="00F772D4" w:rsidRDefault="00102925" w:rsidP="00F55E30">
    <w:pPr>
      <w:pStyle w:val="Footer"/>
      <w:jc w:val="right"/>
      <w:rPr>
        <w:color w:val="2F5496" w:themeColor="accent5" w:themeShade="BF"/>
      </w:rPr>
    </w:pPr>
    <w:r w:rsidRPr="00F772D4">
      <w:rPr>
        <w:color w:val="2F5496" w:themeColor="accent5" w:themeShade="BF"/>
        <w:lang w:val="en-AU"/>
      </w:rPr>
      <w:t>sesizare@mpublic.ro      www.mpublic.ro</w:t>
    </w:r>
    <w:sdt>
      <w:sdtPr>
        <w:rPr>
          <w:color w:val="2F5496" w:themeColor="accent5" w:themeShade="BF"/>
        </w:rPr>
        <w:id w:val="546496628"/>
        <w:docPartObj>
          <w:docPartGallery w:val="Page Numbers (Bottom of Page)"/>
          <w:docPartUnique/>
        </w:docPartObj>
      </w:sdtPr>
      <w:sdtEndPr>
        <w:rPr>
          <w:noProof/>
        </w:rPr>
      </w:sdtEndPr>
      <w:sdtContent>
        <w:r w:rsidRPr="00F772D4">
          <w:rPr>
            <w:color w:val="2F5496" w:themeColor="accent5" w:themeShade="BF"/>
          </w:rPr>
          <w:t xml:space="preserve">                                                                 </w:t>
        </w:r>
        <w:r w:rsidRPr="00F772D4">
          <w:rPr>
            <w:color w:val="2F5496" w:themeColor="accent5" w:themeShade="BF"/>
          </w:rPr>
          <w:fldChar w:fldCharType="begin"/>
        </w:r>
        <w:r w:rsidRPr="00F772D4">
          <w:rPr>
            <w:color w:val="2F5496" w:themeColor="accent5" w:themeShade="BF"/>
          </w:rPr>
          <w:instrText xml:space="preserve"> PAGE   \* MERGEFORMAT </w:instrText>
        </w:r>
        <w:r w:rsidRPr="00F772D4">
          <w:rPr>
            <w:color w:val="2F5496" w:themeColor="accent5" w:themeShade="BF"/>
          </w:rPr>
          <w:fldChar w:fldCharType="separate"/>
        </w:r>
        <w:r w:rsidR="00104E3E">
          <w:rPr>
            <w:noProof/>
            <w:color w:val="2F5496" w:themeColor="accent5" w:themeShade="BF"/>
          </w:rPr>
          <w:t>1</w:t>
        </w:r>
        <w:r w:rsidRPr="00F772D4">
          <w:rPr>
            <w:noProof/>
            <w:color w:val="2F5496" w:themeColor="accent5" w:themeShade="BF"/>
          </w:rPr>
          <w:fldChar w:fldCharType="end"/>
        </w:r>
      </w:sdtContent>
    </w:sdt>
  </w:p>
  <w:p w14:paraId="2960E07A" w14:textId="77777777" w:rsidR="00102925" w:rsidRDefault="00102925" w:rsidP="00102925"/>
  <w:p w14:paraId="049060BF" w14:textId="77777777" w:rsidR="00102925" w:rsidRDefault="001029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09A8D" w14:textId="77777777" w:rsidR="00604BC1" w:rsidRDefault="00604BC1">
      <w:r>
        <w:separator/>
      </w:r>
    </w:p>
  </w:footnote>
  <w:footnote w:type="continuationSeparator" w:id="0">
    <w:p w14:paraId="13D0FEB7" w14:textId="77777777" w:rsidR="00604BC1" w:rsidRDefault="00604B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FA78B" w14:textId="77777777" w:rsidR="00102925" w:rsidRDefault="00102925" w:rsidP="0010292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7B6F10" w14:textId="77777777" w:rsidR="00102925" w:rsidRDefault="00604BC1">
    <w:pPr>
      <w:pStyle w:val="Header"/>
    </w:pPr>
    <w:r>
      <w:rPr>
        <w:noProof/>
        <w:lang w:eastAsia="en-US"/>
      </w:rPr>
      <w:pict w14:anchorId="47871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315.55pt;height:433.1pt;z-index:-251658240;mso-position-horizontal:center;mso-position-horizontal-relative:margin;mso-position-vertical:center;mso-position-vertical-relative:margin" o:allowincell="f">
          <v:imagedata r:id="rId1" o:title="stema"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30390" w14:textId="77777777" w:rsidR="00102925" w:rsidRDefault="0010292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5DC2" w14:textId="77777777" w:rsidR="00102925" w:rsidRDefault="00102925" w:rsidP="00102925"/>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379"/>
    </w:tblGrid>
    <w:tr w:rsidR="00102925" w:rsidRPr="00F772D4" w14:paraId="57653F22" w14:textId="77777777" w:rsidTr="00102925">
      <w:tc>
        <w:tcPr>
          <w:tcW w:w="3539" w:type="dxa"/>
        </w:tcPr>
        <w:p w14:paraId="7AF5BD1B" w14:textId="77777777" w:rsidR="00102925" w:rsidRDefault="00102925" w:rsidP="001F70E4">
          <w:r>
            <w:rPr>
              <w:noProof/>
              <w:lang w:eastAsia="en-US"/>
            </w:rPr>
            <w:drawing>
              <wp:inline distT="0" distB="0" distL="0" distR="0" wp14:anchorId="2415DA9A" wp14:editId="757000B0">
                <wp:extent cx="2088062" cy="790575"/>
                <wp:effectExtent l="0" t="0" r="7620" b="0"/>
                <wp:docPr id="7" name="Picture 1" descr="C:\Users\MP_P20_C3\AppData\Local\Microsoft\Windows\INetCache\Content.Word\logo-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_P20_C3\AppData\Local\Microsoft\Windows\INetCache\Content.Word\logo-M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925" cy="795067"/>
                        </a:xfrm>
                        <a:prstGeom prst="rect">
                          <a:avLst/>
                        </a:prstGeom>
                        <a:noFill/>
                        <a:ln>
                          <a:noFill/>
                        </a:ln>
                      </pic:spPr>
                    </pic:pic>
                  </a:graphicData>
                </a:graphic>
              </wp:inline>
            </w:drawing>
          </w:r>
        </w:p>
      </w:tc>
      <w:tc>
        <w:tcPr>
          <w:tcW w:w="6379" w:type="dxa"/>
        </w:tcPr>
        <w:p w14:paraId="4064A8A6" w14:textId="77777777" w:rsidR="00102925" w:rsidRPr="00F772D4" w:rsidRDefault="00102925" w:rsidP="001F70E4">
          <w:pPr>
            <w:spacing w:before="160" w:after="120"/>
            <w:ind w:left="564"/>
            <w:jc w:val="center"/>
            <w:rPr>
              <w:color w:val="2F5496" w:themeColor="accent5" w:themeShade="BF"/>
              <w:sz w:val="22"/>
              <w:szCs w:val="22"/>
              <w:lang w:val="es-ES"/>
            </w:rPr>
          </w:pPr>
          <w:r w:rsidRPr="00F772D4">
            <w:rPr>
              <w:noProof/>
              <w:color w:val="2F5496" w:themeColor="accent5" w:themeShade="BF"/>
              <w:sz w:val="22"/>
              <w:szCs w:val="22"/>
              <w:lang w:eastAsia="en-US"/>
            </w:rPr>
            <mc:AlternateContent>
              <mc:Choice Requires="wps">
                <w:drawing>
                  <wp:anchor distT="0" distB="0" distL="114300" distR="114300" simplePos="0" relativeHeight="251657216" behindDoc="0" locked="0" layoutInCell="1" allowOverlap="1" wp14:anchorId="64D7495C" wp14:editId="32263E24">
                    <wp:simplePos x="0" y="0"/>
                    <wp:positionH relativeFrom="column">
                      <wp:posOffset>695960</wp:posOffset>
                    </wp:positionH>
                    <wp:positionV relativeFrom="paragraph">
                      <wp:posOffset>499745</wp:posOffset>
                    </wp:positionV>
                    <wp:extent cx="32670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32670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2E073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8pt,39.35pt" to="312.0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E/uwEAAMYDAAAOAAAAZHJzL2Uyb0RvYy54bWysU02P0zAQvSPxHyzfadKsugtR0z10BRcE&#10;FQs/wOuMG0v+0tg06b9n7LRZBEgItBfHY897M+95sr2frGEnwKi96/h6VXMGTvpeu2PHv319/+Yt&#10;ZzEJ1wvjHXT8DJHf716/2o6hhcYP3vSAjEhcbMfQ8SGl0FZVlANYEVc+gKNL5dGKRCEeqx7FSOzW&#10;VE1d31ajxz6glxAjnT7Ml3xX+JUCmT4rFSEx03HqLZUVy/qU12q3Fe0RRRi0vLQh/qMLK7SjogvV&#10;g0iCfUf9G5XVEn30Kq2kt5VXSksoGkjNuv5FzeMgAhQtZE4Mi03x5Wjlp9MBme473nDmhKUnekwo&#10;9HFIbO+dIwM9sib7NIbYUvreHfASxXDALHpSaPOX5LCpeHtevIUpMUmHN83tXX234UzS3btNs8mU&#10;1TM2YEwfwFuWNx032mXlohWnjzHNqdcUwuVe5upll84GcrJxX0CRGqq3LugyR7A3yE6CJkBICS6t&#10;L6VLdoYpbcwCrP8OvORnKJQZ+xfwgiiVvUsL2Grn8U/V03RtWc35Vwdm3dmCJ9+fy7sUa2hYirmX&#10;wc7T+HNc4M+/3+4HAAAA//8DAFBLAwQUAAYACAAAACEA27FIU+EAAAAJAQAADwAAAGRycy9kb3du&#10;cmV2LnhtbEyPUUvDMBSF3wX/Q7iCby5Zka7WpmMMxDmQ4Rxsj1lzbavNTUmytfv3Zk/6eLgf53y3&#10;mI+mY2d0vrUkYToRwJAqq1uqJew+Xx4yYD4o0qqzhBIu6GFe3t4UKtd2oA88b0PNYgn5XEloQuhz&#10;zn3VoFF+YnukePuyzqgQo6u5dmqI5abjiRApN6qluNCoHpcNVj/bk5Hw7lar5WJ9+abNwQz7ZL3f&#10;vI2vUt7fjYtnYAHH8AfDVT+qQxmdjvZE2rMuZvGURlTCLJsBi0CaPE6BHSVkIgFeFvz/B+UvAAAA&#10;//8DAFBLAQItABQABgAIAAAAIQC2gziS/gAAAOEBAAATAAAAAAAAAAAAAAAAAAAAAABbQ29udGVu&#10;dF9UeXBlc10ueG1sUEsBAi0AFAAGAAgAAAAhADj9If/WAAAAlAEAAAsAAAAAAAAAAAAAAAAALwEA&#10;AF9yZWxzLy5yZWxzUEsBAi0AFAAGAAgAAAAhANW84T+7AQAAxgMAAA4AAAAAAAAAAAAAAAAALgIA&#10;AGRycy9lMm9Eb2MueG1sUEsBAi0AFAAGAAgAAAAhANuxSFPhAAAACQEAAA8AAAAAAAAAAAAAAAAA&#10;FQQAAGRycy9kb3ducmV2LnhtbFBLBQYAAAAABAAEAPMAAAAjBQAAAAA=&#10;" strokecolor="#5b9bd5 [3204]" strokeweight=".5pt">
                    <v:stroke joinstyle="miter"/>
                  </v:line>
                </w:pict>
              </mc:Fallback>
            </mc:AlternateContent>
          </w:r>
          <w:r w:rsidRPr="00F772D4">
            <w:rPr>
              <w:color w:val="2F5496" w:themeColor="accent5" w:themeShade="BF"/>
              <w:sz w:val="22"/>
              <w:szCs w:val="22"/>
              <w:lang w:val="es-ES"/>
            </w:rPr>
            <w:t>PARCHETUL DE PE LÂNGĂ ÎNALTA CURTE DE CASAŢIE ŞI JUSTIŢIE</w:t>
          </w:r>
        </w:p>
        <w:p w14:paraId="70A6BB3F" w14:textId="77777777" w:rsidR="00102925" w:rsidRPr="00F772D4" w:rsidRDefault="00102925" w:rsidP="001F70E4">
          <w:pPr>
            <w:spacing w:before="160" w:after="120"/>
            <w:ind w:left="564"/>
            <w:jc w:val="center"/>
            <w:rPr>
              <w:color w:val="2F5496" w:themeColor="accent5" w:themeShade="BF"/>
              <w:sz w:val="22"/>
              <w:szCs w:val="22"/>
              <w:lang w:val="es-ES"/>
            </w:rPr>
          </w:pPr>
          <w:r w:rsidRPr="00F772D4">
            <w:rPr>
              <w:color w:val="2F5496" w:themeColor="accent5" w:themeShade="BF"/>
              <w:sz w:val="22"/>
              <w:szCs w:val="22"/>
              <w:lang w:val="es-ES"/>
            </w:rPr>
            <w:t>CABINET PROCUROR GENERAL</w:t>
          </w:r>
        </w:p>
        <w:p w14:paraId="476A6303" w14:textId="77777777" w:rsidR="00102925" w:rsidRPr="00602638" w:rsidRDefault="00102925" w:rsidP="001F70E4">
          <w:pPr>
            <w:spacing w:before="160" w:after="120"/>
            <w:ind w:left="564"/>
            <w:jc w:val="right"/>
            <w:rPr>
              <w:color w:val="2F5496" w:themeColor="accent5" w:themeShade="BF"/>
              <w:sz w:val="18"/>
              <w:szCs w:val="18"/>
              <w:lang w:val="es-ES"/>
            </w:rPr>
          </w:pPr>
          <w:r>
            <w:rPr>
              <w:color w:val="2F5496" w:themeColor="accent5" w:themeShade="BF"/>
              <w:sz w:val="18"/>
              <w:szCs w:val="18"/>
              <w:lang w:val="es-ES"/>
            </w:rPr>
            <w:t>Operator date caracter personal nr.3883</w:t>
          </w:r>
        </w:p>
      </w:tc>
    </w:tr>
  </w:tbl>
  <w:p w14:paraId="6233DB68" w14:textId="77777777" w:rsidR="00102925" w:rsidRDefault="0010292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5141"/>
    <w:multiLevelType w:val="multilevel"/>
    <w:tmpl w:val="BCD01BB4"/>
    <w:lvl w:ilvl="0">
      <w:start w:val="1"/>
      <w:numFmt w:val="upperRoman"/>
      <w:lvlText w:val="%1."/>
      <w:lvlJc w:val="left"/>
      <w:rPr>
        <w:rFonts w:ascii="Times New Roman" w:eastAsia="Times New Roman" w:hAnsi="Times New Roman" w:cs="Times New Roman"/>
        <w:b/>
        <w:bCs/>
        <w:i w:val="0"/>
        <w:iCs w:val="0"/>
        <w:smallCaps w:val="0"/>
        <w:strike w:val="0"/>
        <w:color w:val="000000"/>
        <w:spacing w:val="9"/>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030904"/>
    <w:multiLevelType w:val="hybridMultilevel"/>
    <w:tmpl w:val="65168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75F7C"/>
    <w:multiLevelType w:val="hybridMultilevel"/>
    <w:tmpl w:val="8D7A12D2"/>
    <w:lvl w:ilvl="0" w:tplc="5FCA4856">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943348"/>
    <w:multiLevelType w:val="multilevel"/>
    <w:tmpl w:val="04324942"/>
    <w:lvl w:ilvl="0">
      <w:start w:val="2016"/>
      <w:numFmt w:val="decimal"/>
      <w:lvlText w:val="12.09.%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031303"/>
    <w:multiLevelType w:val="multilevel"/>
    <w:tmpl w:val="38BC06EE"/>
    <w:lvl w:ilvl="0">
      <w:start w:val="2016"/>
      <w:numFmt w:val="decimal"/>
      <w:lvlText w:val="04.04.%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C3263D"/>
    <w:multiLevelType w:val="hybridMultilevel"/>
    <w:tmpl w:val="DB0622E8"/>
    <w:lvl w:ilvl="0" w:tplc="976441F0">
      <w:start w:val="1"/>
      <w:numFmt w:val="decimal"/>
      <w:lvlText w:val="%1)"/>
      <w:lvlJc w:val="left"/>
      <w:pPr>
        <w:ind w:left="1080" w:hanging="360"/>
      </w:pPr>
      <w:rPr>
        <w:rFonts w:hint="default"/>
      </w:rPr>
    </w:lvl>
    <w:lvl w:ilvl="1" w:tplc="04090019">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6" w15:restartNumberingAfterBreak="0">
    <w:nsid w:val="63672B50"/>
    <w:multiLevelType w:val="multilevel"/>
    <w:tmpl w:val="BB9E4FEE"/>
    <w:lvl w:ilvl="0">
      <w:start w:val="2016"/>
      <w:numFmt w:val="decimal"/>
      <w:lvlText w:val="12.09.%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C4271B9"/>
    <w:multiLevelType w:val="multilevel"/>
    <w:tmpl w:val="091CC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3AB3160"/>
    <w:multiLevelType w:val="multilevel"/>
    <w:tmpl w:val="E54C22D2"/>
    <w:lvl w:ilvl="0">
      <w:start w:val="1"/>
      <w:numFmt w:val="upperRoman"/>
      <w:lvlText w:val="%1."/>
      <w:lvlJc w:val="left"/>
      <w:rPr>
        <w:rFonts w:ascii="Times New Roman" w:eastAsia="Times New Roman" w:hAnsi="Times New Roman" w:cs="Times New Roman"/>
        <w:b/>
        <w:bCs/>
        <w:i w:val="0"/>
        <w:iCs w:val="0"/>
        <w:smallCaps w:val="0"/>
        <w:strike w:val="0"/>
        <w:color w:val="000000"/>
        <w:spacing w:val="9"/>
        <w:w w:val="100"/>
        <w:position w:val="0"/>
        <w:sz w:val="24"/>
        <w:szCs w:val="24"/>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A765B41"/>
    <w:multiLevelType w:val="hybridMultilevel"/>
    <w:tmpl w:val="B5AE4C08"/>
    <w:lvl w:ilvl="0" w:tplc="46189E7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7BF24547"/>
    <w:multiLevelType w:val="hybridMultilevel"/>
    <w:tmpl w:val="5C36D65A"/>
    <w:lvl w:ilvl="0" w:tplc="976441F0">
      <w:start w:val="1"/>
      <w:numFmt w:val="decimal"/>
      <w:lvlText w:val="%1)"/>
      <w:lvlJc w:val="left"/>
      <w:pPr>
        <w:ind w:left="1100" w:hanging="360"/>
      </w:pPr>
      <w:rPr>
        <w:rFonts w:hint="default"/>
      </w:rPr>
    </w:lvl>
    <w:lvl w:ilvl="1" w:tplc="04090019">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abstractNumId w:val="5"/>
  </w:num>
  <w:num w:numId="2">
    <w:abstractNumId w:val="10"/>
  </w:num>
  <w:num w:numId="3">
    <w:abstractNumId w:val="3"/>
  </w:num>
  <w:num w:numId="4">
    <w:abstractNumId w:val="6"/>
  </w:num>
  <w:num w:numId="5">
    <w:abstractNumId w:val="8"/>
  </w:num>
  <w:num w:numId="6">
    <w:abstractNumId w:val="4"/>
  </w:num>
  <w:num w:numId="7">
    <w:abstractNumId w:val="0"/>
  </w:num>
  <w:num w:numId="8">
    <w:abstractNumId w:val="7"/>
  </w:num>
  <w:num w:numId="9">
    <w:abstractNumId w:val="2"/>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2F"/>
    <w:rsid w:val="00006A91"/>
    <w:rsid w:val="0002179A"/>
    <w:rsid w:val="00023963"/>
    <w:rsid w:val="00023B70"/>
    <w:rsid w:val="000322D2"/>
    <w:rsid w:val="00034305"/>
    <w:rsid w:val="00060744"/>
    <w:rsid w:val="000608AD"/>
    <w:rsid w:val="0006682E"/>
    <w:rsid w:val="0007018C"/>
    <w:rsid w:val="000753DF"/>
    <w:rsid w:val="000830AD"/>
    <w:rsid w:val="0008670D"/>
    <w:rsid w:val="00093072"/>
    <w:rsid w:val="00093273"/>
    <w:rsid w:val="000A1F79"/>
    <w:rsid w:val="000A55C9"/>
    <w:rsid w:val="000A7172"/>
    <w:rsid w:val="000A7F88"/>
    <w:rsid w:val="000B102E"/>
    <w:rsid w:val="000B1437"/>
    <w:rsid w:val="000B6E20"/>
    <w:rsid w:val="000B733E"/>
    <w:rsid w:val="000C1AFB"/>
    <w:rsid w:val="000C30A6"/>
    <w:rsid w:val="000C52D7"/>
    <w:rsid w:val="000C7A5F"/>
    <w:rsid w:val="000D0C4A"/>
    <w:rsid w:val="000E2CC2"/>
    <w:rsid w:val="000E4F65"/>
    <w:rsid w:val="000E5AF9"/>
    <w:rsid w:val="000E783F"/>
    <w:rsid w:val="000F1B6F"/>
    <w:rsid w:val="00101135"/>
    <w:rsid w:val="00102925"/>
    <w:rsid w:val="00104E3E"/>
    <w:rsid w:val="00106D4A"/>
    <w:rsid w:val="0010775E"/>
    <w:rsid w:val="00107B18"/>
    <w:rsid w:val="001123A8"/>
    <w:rsid w:val="00114A7F"/>
    <w:rsid w:val="00115630"/>
    <w:rsid w:val="001217FE"/>
    <w:rsid w:val="00122B07"/>
    <w:rsid w:val="00126247"/>
    <w:rsid w:val="00127BEB"/>
    <w:rsid w:val="00131012"/>
    <w:rsid w:val="00135420"/>
    <w:rsid w:val="001357C0"/>
    <w:rsid w:val="00142C06"/>
    <w:rsid w:val="00152A10"/>
    <w:rsid w:val="00152C0A"/>
    <w:rsid w:val="00160228"/>
    <w:rsid w:val="00171F88"/>
    <w:rsid w:val="00175280"/>
    <w:rsid w:val="0017555A"/>
    <w:rsid w:val="00177CBF"/>
    <w:rsid w:val="00180ED5"/>
    <w:rsid w:val="00187C85"/>
    <w:rsid w:val="00190B48"/>
    <w:rsid w:val="00191D81"/>
    <w:rsid w:val="00196976"/>
    <w:rsid w:val="001A121E"/>
    <w:rsid w:val="001A13C6"/>
    <w:rsid w:val="001A2858"/>
    <w:rsid w:val="001A482D"/>
    <w:rsid w:val="001A5AC1"/>
    <w:rsid w:val="001B5566"/>
    <w:rsid w:val="001C16FB"/>
    <w:rsid w:val="001E35E8"/>
    <w:rsid w:val="001E48BF"/>
    <w:rsid w:val="001E5518"/>
    <w:rsid w:val="001E7CB5"/>
    <w:rsid w:val="001F70E4"/>
    <w:rsid w:val="001F7B5E"/>
    <w:rsid w:val="00203692"/>
    <w:rsid w:val="00204DB0"/>
    <w:rsid w:val="00212090"/>
    <w:rsid w:val="002177AA"/>
    <w:rsid w:val="00226B06"/>
    <w:rsid w:val="0023605A"/>
    <w:rsid w:val="0024212E"/>
    <w:rsid w:val="00244E46"/>
    <w:rsid w:val="002464EB"/>
    <w:rsid w:val="00261153"/>
    <w:rsid w:val="00262DE6"/>
    <w:rsid w:val="00264C7A"/>
    <w:rsid w:val="0026613A"/>
    <w:rsid w:val="00266B79"/>
    <w:rsid w:val="0027245D"/>
    <w:rsid w:val="00276F99"/>
    <w:rsid w:val="0028153A"/>
    <w:rsid w:val="00286851"/>
    <w:rsid w:val="0028792F"/>
    <w:rsid w:val="00296F7E"/>
    <w:rsid w:val="002A3566"/>
    <w:rsid w:val="002B18B5"/>
    <w:rsid w:val="002B392F"/>
    <w:rsid w:val="002B6CDF"/>
    <w:rsid w:val="002C5B77"/>
    <w:rsid w:val="002D5F6C"/>
    <w:rsid w:val="002E3D10"/>
    <w:rsid w:val="002F0302"/>
    <w:rsid w:val="002F054D"/>
    <w:rsid w:val="002F217A"/>
    <w:rsid w:val="002F5217"/>
    <w:rsid w:val="00303CD1"/>
    <w:rsid w:val="00304C38"/>
    <w:rsid w:val="003104BC"/>
    <w:rsid w:val="00310EFA"/>
    <w:rsid w:val="003127C0"/>
    <w:rsid w:val="0031372D"/>
    <w:rsid w:val="00317FA9"/>
    <w:rsid w:val="00326C56"/>
    <w:rsid w:val="0033613C"/>
    <w:rsid w:val="0033744A"/>
    <w:rsid w:val="00340570"/>
    <w:rsid w:val="003421FE"/>
    <w:rsid w:val="00346AC7"/>
    <w:rsid w:val="00361B5F"/>
    <w:rsid w:val="00362CC3"/>
    <w:rsid w:val="00365E2F"/>
    <w:rsid w:val="0036605F"/>
    <w:rsid w:val="00366157"/>
    <w:rsid w:val="00373A65"/>
    <w:rsid w:val="00377BCC"/>
    <w:rsid w:val="003818D9"/>
    <w:rsid w:val="00396FDF"/>
    <w:rsid w:val="003A1D27"/>
    <w:rsid w:val="003A1EF2"/>
    <w:rsid w:val="003A6D01"/>
    <w:rsid w:val="003B62B8"/>
    <w:rsid w:val="003C2D81"/>
    <w:rsid w:val="003C3C68"/>
    <w:rsid w:val="003C63EC"/>
    <w:rsid w:val="003C64F1"/>
    <w:rsid w:val="003D5C9C"/>
    <w:rsid w:val="003E321D"/>
    <w:rsid w:val="003E63EA"/>
    <w:rsid w:val="00403C6E"/>
    <w:rsid w:val="00404AE1"/>
    <w:rsid w:val="00414742"/>
    <w:rsid w:val="00424942"/>
    <w:rsid w:val="00427315"/>
    <w:rsid w:val="00427EAB"/>
    <w:rsid w:val="00440010"/>
    <w:rsid w:val="00445689"/>
    <w:rsid w:val="00452ED2"/>
    <w:rsid w:val="004545F9"/>
    <w:rsid w:val="00455BBA"/>
    <w:rsid w:val="0046108C"/>
    <w:rsid w:val="00465E06"/>
    <w:rsid w:val="00465F27"/>
    <w:rsid w:val="0046601C"/>
    <w:rsid w:val="00472867"/>
    <w:rsid w:val="004755F1"/>
    <w:rsid w:val="0047654F"/>
    <w:rsid w:val="00480CC7"/>
    <w:rsid w:val="00481096"/>
    <w:rsid w:val="00482EBF"/>
    <w:rsid w:val="00486561"/>
    <w:rsid w:val="004930A5"/>
    <w:rsid w:val="0049565B"/>
    <w:rsid w:val="0049600E"/>
    <w:rsid w:val="004A1BF3"/>
    <w:rsid w:val="004A2AB6"/>
    <w:rsid w:val="004B13A5"/>
    <w:rsid w:val="004B394F"/>
    <w:rsid w:val="004B7321"/>
    <w:rsid w:val="004C1F67"/>
    <w:rsid w:val="004C41DB"/>
    <w:rsid w:val="004D0A49"/>
    <w:rsid w:val="004D0A5A"/>
    <w:rsid w:val="004D42F0"/>
    <w:rsid w:val="004D4ED1"/>
    <w:rsid w:val="004E7A60"/>
    <w:rsid w:val="004F19B6"/>
    <w:rsid w:val="004F70E6"/>
    <w:rsid w:val="00500D52"/>
    <w:rsid w:val="00502BE1"/>
    <w:rsid w:val="00503D38"/>
    <w:rsid w:val="005201E1"/>
    <w:rsid w:val="00531196"/>
    <w:rsid w:val="0053185A"/>
    <w:rsid w:val="00533F46"/>
    <w:rsid w:val="00533FA1"/>
    <w:rsid w:val="00534499"/>
    <w:rsid w:val="00537940"/>
    <w:rsid w:val="00542D8F"/>
    <w:rsid w:val="00545652"/>
    <w:rsid w:val="0055041D"/>
    <w:rsid w:val="00550B35"/>
    <w:rsid w:val="00550E24"/>
    <w:rsid w:val="00560740"/>
    <w:rsid w:val="00566713"/>
    <w:rsid w:val="0057278E"/>
    <w:rsid w:val="00581069"/>
    <w:rsid w:val="00591210"/>
    <w:rsid w:val="00591C10"/>
    <w:rsid w:val="00594C50"/>
    <w:rsid w:val="00597A04"/>
    <w:rsid w:val="005A2252"/>
    <w:rsid w:val="005A602C"/>
    <w:rsid w:val="005B1A17"/>
    <w:rsid w:val="005B5E2E"/>
    <w:rsid w:val="005C3CDC"/>
    <w:rsid w:val="005C5036"/>
    <w:rsid w:val="005D102B"/>
    <w:rsid w:val="005D629E"/>
    <w:rsid w:val="005E7FED"/>
    <w:rsid w:val="005F3ED6"/>
    <w:rsid w:val="005F7B5B"/>
    <w:rsid w:val="00600401"/>
    <w:rsid w:val="00602638"/>
    <w:rsid w:val="00603AA5"/>
    <w:rsid w:val="00604BC1"/>
    <w:rsid w:val="00614E1B"/>
    <w:rsid w:val="00615841"/>
    <w:rsid w:val="006159E6"/>
    <w:rsid w:val="006214CA"/>
    <w:rsid w:val="006232DD"/>
    <w:rsid w:val="00624BD1"/>
    <w:rsid w:val="00637312"/>
    <w:rsid w:val="00652F88"/>
    <w:rsid w:val="006544A0"/>
    <w:rsid w:val="0066292C"/>
    <w:rsid w:val="006760AC"/>
    <w:rsid w:val="00676379"/>
    <w:rsid w:val="006827DB"/>
    <w:rsid w:val="00684468"/>
    <w:rsid w:val="006861A0"/>
    <w:rsid w:val="006B0023"/>
    <w:rsid w:val="006B47EB"/>
    <w:rsid w:val="006C2044"/>
    <w:rsid w:val="006C3094"/>
    <w:rsid w:val="006C466B"/>
    <w:rsid w:val="006C6B3A"/>
    <w:rsid w:val="006C7EC8"/>
    <w:rsid w:val="006D5A71"/>
    <w:rsid w:val="006E2EEB"/>
    <w:rsid w:val="006F25F7"/>
    <w:rsid w:val="006F56CC"/>
    <w:rsid w:val="006F6762"/>
    <w:rsid w:val="006F7BAF"/>
    <w:rsid w:val="00711257"/>
    <w:rsid w:val="0071214A"/>
    <w:rsid w:val="00714B2F"/>
    <w:rsid w:val="00721541"/>
    <w:rsid w:val="007303DE"/>
    <w:rsid w:val="0073296D"/>
    <w:rsid w:val="00732B57"/>
    <w:rsid w:val="00736366"/>
    <w:rsid w:val="00737C91"/>
    <w:rsid w:val="00743B0B"/>
    <w:rsid w:val="00743BF9"/>
    <w:rsid w:val="007602E9"/>
    <w:rsid w:val="007618A1"/>
    <w:rsid w:val="00763A35"/>
    <w:rsid w:val="00764874"/>
    <w:rsid w:val="00765A45"/>
    <w:rsid w:val="007709BE"/>
    <w:rsid w:val="00776AA4"/>
    <w:rsid w:val="00777C35"/>
    <w:rsid w:val="00780E7D"/>
    <w:rsid w:val="00783D17"/>
    <w:rsid w:val="007978C8"/>
    <w:rsid w:val="007B07B9"/>
    <w:rsid w:val="007B17DC"/>
    <w:rsid w:val="007B274F"/>
    <w:rsid w:val="007B2F2C"/>
    <w:rsid w:val="007B467F"/>
    <w:rsid w:val="007D678C"/>
    <w:rsid w:val="007D712C"/>
    <w:rsid w:val="007E235B"/>
    <w:rsid w:val="007E5A13"/>
    <w:rsid w:val="007F5905"/>
    <w:rsid w:val="008057EE"/>
    <w:rsid w:val="00807F32"/>
    <w:rsid w:val="0081140F"/>
    <w:rsid w:val="00817F33"/>
    <w:rsid w:val="00822E4C"/>
    <w:rsid w:val="008268F7"/>
    <w:rsid w:val="008322DF"/>
    <w:rsid w:val="00833899"/>
    <w:rsid w:val="00834A84"/>
    <w:rsid w:val="0083524F"/>
    <w:rsid w:val="0084540E"/>
    <w:rsid w:val="00861827"/>
    <w:rsid w:val="008621C6"/>
    <w:rsid w:val="00862914"/>
    <w:rsid w:val="00864D9E"/>
    <w:rsid w:val="0086528F"/>
    <w:rsid w:val="0087667B"/>
    <w:rsid w:val="00882A1A"/>
    <w:rsid w:val="0088517A"/>
    <w:rsid w:val="00893C67"/>
    <w:rsid w:val="00897503"/>
    <w:rsid w:val="008A6486"/>
    <w:rsid w:val="008A7529"/>
    <w:rsid w:val="008A7D14"/>
    <w:rsid w:val="008B018D"/>
    <w:rsid w:val="008B235C"/>
    <w:rsid w:val="008B368B"/>
    <w:rsid w:val="008D07B9"/>
    <w:rsid w:val="008D40BD"/>
    <w:rsid w:val="008D7878"/>
    <w:rsid w:val="008E3958"/>
    <w:rsid w:val="008E5D0B"/>
    <w:rsid w:val="008E68CE"/>
    <w:rsid w:val="008F49AC"/>
    <w:rsid w:val="008F50C5"/>
    <w:rsid w:val="008F6A1A"/>
    <w:rsid w:val="008F782A"/>
    <w:rsid w:val="009014FD"/>
    <w:rsid w:val="009026E5"/>
    <w:rsid w:val="00902BFC"/>
    <w:rsid w:val="00902DE1"/>
    <w:rsid w:val="00911403"/>
    <w:rsid w:val="009269F6"/>
    <w:rsid w:val="00926A4E"/>
    <w:rsid w:val="0093045E"/>
    <w:rsid w:val="00931D4E"/>
    <w:rsid w:val="009360E1"/>
    <w:rsid w:val="0093781E"/>
    <w:rsid w:val="00937C09"/>
    <w:rsid w:val="00943D4C"/>
    <w:rsid w:val="0094427C"/>
    <w:rsid w:val="0095425F"/>
    <w:rsid w:val="0095570B"/>
    <w:rsid w:val="00956198"/>
    <w:rsid w:val="0096070D"/>
    <w:rsid w:val="00964091"/>
    <w:rsid w:val="009646A7"/>
    <w:rsid w:val="009651F7"/>
    <w:rsid w:val="0096714D"/>
    <w:rsid w:val="0096782B"/>
    <w:rsid w:val="00971305"/>
    <w:rsid w:val="0097566D"/>
    <w:rsid w:val="009776E0"/>
    <w:rsid w:val="00982E2E"/>
    <w:rsid w:val="00986BB9"/>
    <w:rsid w:val="0099180A"/>
    <w:rsid w:val="00992C86"/>
    <w:rsid w:val="009A1585"/>
    <w:rsid w:val="009A3A8D"/>
    <w:rsid w:val="009A3C00"/>
    <w:rsid w:val="009A6D6C"/>
    <w:rsid w:val="009B785D"/>
    <w:rsid w:val="009C210C"/>
    <w:rsid w:val="009C617D"/>
    <w:rsid w:val="009D263F"/>
    <w:rsid w:val="009D2640"/>
    <w:rsid w:val="009D7FB5"/>
    <w:rsid w:val="009E0EA5"/>
    <w:rsid w:val="009E12E5"/>
    <w:rsid w:val="009E3B96"/>
    <w:rsid w:val="009E41B9"/>
    <w:rsid w:val="009E5A13"/>
    <w:rsid w:val="009F60BF"/>
    <w:rsid w:val="00A040E3"/>
    <w:rsid w:val="00A12FEB"/>
    <w:rsid w:val="00A220EB"/>
    <w:rsid w:val="00A23449"/>
    <w:rsid w:val="00A34E82"/>
    <w:rsid w:val="00A3777D"/>
    <w:rsid w:val="00A4047B"/>
    <w:rsid w:val="00A441E7"/>
    <w:rsid w:val="00A44C00"/>
    <w:rsid w:val="00A54D00"/>
    <w:rsid w:val="00A55A3C"/>
    <w:rsid w:val="00A5683C"/>
    <w:rsid w:val="00A6108B"/>
    <w:rsid w:val="00A62D1E"/>
    <w:rsid w:val="00A65B80"/>
    <w:rsid w:val="00A72531"/>
    <w:rsid w:val="00A755DF"/>
    <w:rsid w:val="00A83C64"/>
    <w:rsid w:val="00A840D7"/>
    <w:rsid w:val="00A90858"/>
    <w:rsid w:val="00AA40C8"/>
    <w:rsid w:val="00AA6C20"/>
    <w:rsid w:val="00AB0DDF"/>
    <w:rsid w:val="00AB0F01"/>
    <w:rsid w:val="00AB1819"/>
    <w:rsid w:val="00AB5246"/>
    <w:rsid w:val="00AC1526"/>
    <w:rsid w:val="00AC4912"/>
    <w:rsid w:val="00AC6604"/>
    <w:rsid w:val="00AE1A66"/>
    <w:rsid w:val="00AE2C31"/>
    <w:rsid w:val="00AF0C56"/>
    <w:rsid w:val="00AF2F2A"/>
    <w:rsid w:val="00AF3BCB"/>
    <w:rsid w:val="00AF6FCA"/>
    <w:rsid w:val="00B0331E"/>
    <w:rsid w:val="00B2019F"/>
    <w:rsid w:val="00B22D62"/>
    <w:rsid w:val="00B22F6C"/>
    <w:rsid w:val="00B27180"/>
    <w:rsid w:val="00B34CA1"/>
    <w:rsid w:val="00B35F31"/>
    <w:rsid w:val="00B41B74"/>
    <w:rsid w:val="00B43F25"/>
    <w:rsid w:val="00B54BB1"/>
    <w:rsid w:val="00B5628F"/>
    <w:rsid w:val="00B6327F"/>
    <w:rsid w:val="00B74FC2"/>
    <w:rsid w:val="00B8141E"/>
    <w:rsid w:val="00B8654D"/>
    <w:rsid w:val="00B87927"/>
    <w:rsid w:val="00B97088"/>
    <w:rsid w:val="00BA3972"/>
    <w:rsid w:val="00BB072F"/>
    <w:rsid w:val="00BB2FC1"/>
    <w:rsid w:val="00BB4109"/>
    <w:rsid w:val="00BB768D"/>
    <w:rsid w:val="00BC6186"/>
    <w:rsid w:val="00BC77C8"/>
    <w:rsid w:val="00BD1E38"/>
    <w:rsid w:val="00BE3487"/>
    <w:rsid w:val="00BE6AA0"/>
    <w:rsid w:val="00BF0CA3"/>
    <w:rsid w:val="00C017ED"/>
    <w:rsid w:val="00C07EE5"/>
    <w:rsid w:val="00C11C19"/>
    <w:rsid w:val="00C138AB"/>
    <w:rsid w:val="00C41DB9"/>
    <w:rsid w:val="00C45B4B"/>
    <w:rsid w:val="00C50688"/>
    <w:rsid w:val="00C55365"/>
    <w:rsid w:val="00C63DCF"/>
    <w:rsid w:val="00C654D4"/>
    <w:rsid w:val="00C7089A"/>
    <w:rsid w:val="00C73C7D"/>
    <w:rsid w:val="00C74FD3"/>
    <w:rsid w:val="00C76424"/>
    <w:rsid w:val="00C7775F"/>
    <w:rsid w:val="00C81C33"/>
    <w:rsid w:val="00C83A45"/>
    <w:rsid w:val="00C91AB8"/>
    <w:rsid w:val="00C96F47"/>
    <w:rsid w:val="00CA5C7D"/>
    <w:rsid w:val="00CA5E5A"/>
    <w:rsid w:val="00CD110D"/>
    <w:rsid w:val="00CD6959"/>
    <w:rsid w:val="00CE0CE2"/>
    <w:rsid w:val="00CE489B"/>
    <w:rsid w:val="00CE5D86"/>
    <w:rsid w:val="00D010CD"/>
    <w:rsid w:val="00D04F80"/>
    <w:rsid w:val="00D107B4"/>
    <w:rsid w:val="00D107DA"/>
    <w:rsid w:val="00D11B56"/>
    <w:rsid w:val="00D163A2"/>
    <w:rsid w:val="00D30890"/>
    <w:rsid w:val="00D3170B"/>
    <w:rsid w:val="00D35A7B"/>
    <w:rsid w:val="00D411A8"/>
    <w:rsid w:val="00D479F9"/>
    <w:rsid w:val="00D51E23"/>
    <w:rsid w:val="00D52815"/>
    <w:rsid w:val="00D55FA0"/>
    <w:rsid w:val="00D5651C"/>
    <w:rsid w:val="00D65004"/>
    <w:rsid w:val="00D653BB"/>
    <w:rsid w:val="00D65594"/>
    <w:rsid w:val="00D663FA"/>
    <w:rsid w:val="00D6748E"/>
    <w:rsid w:val="00D70072"/>
    <w:rsid w:val="00D77ED9"/>
    <w:rsid w:val="00D81313"/>
    <w:rsid w:val="00D83140"/>
    <w:rsid w:val="00D87B97"/>
    <w:rsid w:val="00D92918"/>
    <w:rsid w:val="00DB0FD9"/>
    <w:rsid w:val="00DB31EC"/>
    <w:rsid w:val="00DB6123"/>
    <w:rsid w:val="00DC2253"/>
    <w:rsid w:val="00DC3904"/>
    <w:rsid w:val="00DC6550"/>
    <w:rsid w:val="00DE3BF2"/>
    <w:rsid w:val="00DF14AA"/>
    <w:rsid w:val="00E01DAC"/>
    <w:rsid w:val="00E05526"/>
    <w:rsid w:val="00E12140"/>
    <w:rsid w:val="00E12923"/>
    <w:rsid w:val="00E22481"/>
    <w:rsid w:val="00E22702"/>
    <w:rsid w:val="00E24F95"/>
    <w:rsid w:val="00E25557"/>
    <w:rsid w:val="00E30166"/>
    <w:rsid w:val="00E35247"/>
    <w:rsid w:val="00E41A09"/>
    <w:rsid w:val="00E424F8"/>
    <w:rsid w:val="00E42DB0"/>
    <w:rsid w:val="00E45AF8"/>
    <w:rsid w:val="00E54039"/>
    <w:rsid w:val="00E604F7"/>
    <w:rsid w:val="00E6763C"/>
    <w:rsid w:val="00E7060F"/>
    <w:rsid w:val="00E724EC"/>
    <w:rsid w:val="00E726B6"/>
    <w:rsid w:val="00E72F01"/>
    <w:rsid w:val="00E80718"/>
    <w:rsid w:val="00E843FF"/>
    <w:rsid w:val="00E935B2"/>
    <w:rsid w:val="00E93E57"/>
    <w:rsid w:val="00EA5807"/>
    <w:rsid w:val="00EB13E3"/>
    <w:rsid w:val="00EB38CD"/>
    <w:rsid w:val="00EB4C0D"/>
    <w:rsid w:val="00EB7083"/>
    <w:rsid w:val="00EC3CD3"/>
    <w:rsid w:val="00ED395D"/>
    <w:rsid w:val="00ED5751"/>
    <w:rsid w:val="00ED604F"/>
    <w:rsid w:val="00EE388A"/>
    <w:rsid w:val="00EF2ED9"/>
    <w:rsid w:val="00EF61C6"/>
    <w:rsid w:val="00EF7619"/>
    <w:rsid w:val="00F01DA1"/>
    <w:rsid w:val="00F05C83"/>
    <w:rsid w:val="00F06903"/>
    <w:rsid w:val="00F06D7E"/>
    <w:rsid w:val="00F15392"/>
    <w:rsid w:val="00F16696"/>
    <w:rsid w:val="00F21838"/>
    <w:rsid w:val="00F30B44"/>
    <w:rsid w:val="00F35B34"/>
    <w:rsid w:val="00F51D2B"/>
    <w:rsid w:val="00F53312"/>
    <w:rsid w:val="00F54B50"/>
    <w:rsid w:val="00F55353"/>
    <w:rsid w:val="00F55E30"/>
    <w:rsid w:val="00F61281"/>
    <w:rsid w:val="00F66AB5"/>
    <w:rsid w:val="00F7687E"/>
    <w:rsid w:val="00F85952"/>
    <w:rsid w:val="00F94A52"/>
    <w:rsid w:val="00F95BBE"/>
    <w:rsid w:val="00F97652"/>
    <w:rsid w:val="00FA143A"/>
    <w:rsid w:val="00FA3A0D"/>
    <w:rsid w:val="00FA4EA4"/>
    <w:rsid w:val="00FA51C1"/>
    <w:rsid w:val="00FA6E9F"/>
    <w:rsid w:val="00FB0A21"/>
    <w:rsid w:val="00FB64FB"/>
    <w:rsid w:val="00FB776B"/>
    <w:rsid w:val="00FC2F53"/>
    <w:rsid w:val="00FD1997"/>
    <w:rsid w:val="00FD3472"/>
    <w:rsid w:val="00FD5D81"/>
    <w:rsid w:val="00FE72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A4D81E"/>
  <w15:chartTrackingRefBased/>
  <w15:docId w15:val="{9FA8E6AF-431C-414D-BF59-803F7F18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72F"/>
    <w:pPr>
      <w:spacing w:after="0" w:line="240" w:lineRule="auto"/>
    </w:pPr>
    <w:rPr>
      <w:rFonts w:ascii="Times New Roman" w:eastAsia="Times New Roman" w:hAnsi="Times New Roman" w:cs="Times New Roman"/>
      <w:sz w:val="20"/>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072F"/>
    <w:pPr>
      <w:tabs>
        <w:tab w:val="center" w:pos="4536"/>
        <w:tab w:val="right" w:pos="9072"/>
      </w:tabs>
    </w:pPr>
  </w:style>
  <w:style w:type="character" w:customStyle="1" w:styleId="HeaderChar">
    <w:name w:val="Header Char"/>
    <w:basedOn w:val="DefaultParagraphFont"/>
    <w:link w:val="Header"/>
    <w:uiPriority w:val="99"/>
    <w:rsid w:val="00BB072F"/>
    <w:rPr>
      <w:rFonts w:ascii="Times New Roman" w:eastAsia="Times New Roman" w:hAnsi="Times New Roman" w:cs="Times New Roman"/>
      <w:sz w:val="20"/>
      <w:szCs w:val="20"/>
      <w:lang w:val="en-US" w:eastAsia="ro-RO"/>
    </w:rPr>
  </w:style>
  <w:style w:type="paragraph" w:styleId="Footer">
    <w:name w:val="footer"/>
    <w:basedOn w:val="Normal"/>
    <w:link w:val="FooterChar"/>
    <w:uiPriority w:val="99"/>
    <w:rsid w:val="00BB072F"/>
    <w:pPr>
      <w:tabs>
        <w:tab w:val="center" w:pos="4536"/>
        <w:tab w:val="right" w:pos="9072"/>
      </w:tabs>
    </w:pPr>
  </w:style>
  <w:style w:type="character" w:customStyle="1" w:styleId="FooterChar">
    <w:name w:val="Footer Char"/>
    <w:basedOn w:val="DefaultParagraphFont"/>
    <w:link w:val="Footer"/>
    <w:uiPriority w:val="99"/>
    <w:rsid w:val="00BB072F"/>
    <w:rPr>
      <w:rFonts w:ascii="Times New Roman" w:eastAsia="Times New Roman" w:hAnsi="Times New Roman" w:cs="Times New Roman"/>
      <w:sz w:val="20"/>
      <w:szCs w:val="20"/>
      <w:lang w:val="en-US" w:eastAsia="ro-RO"/>
    </w:rPr>
  </w:style>
  <w:style w:type="paragraph" w:customStyle="1" w:styleId="CharCharCaracterCaracterCharCharCaracterCaracterCharChar">
    <w:name w:val="Char Char Caracter Caracter Char Char Caracter Caracter Char Char"/>
    <w:basedOn w:val="Normal"/>
    <w:rsid w:val="00BB072F"/>
    <w:pPr>
      <w:widowControl w:val="0"/>
      <w:adjustRightInd w:val="0"/>
      <w:spacing w:line="360" w:lineRule="atLeast"/>
      <w:jc w:val="both"/>
      <w:textAlignment w:val="baseline"/>
    </w:pPr>
    <w:rPr>
      <w:sz w:val="24"/>
      <w:szCs w:val="24"/>
      <w:lang w:val="pl-PL" w:eastAsia="pl-PL"/>
    </w:rPr>
  </w:style>
  <w:style w:type="character" w:styleId="PageNumber">
    <w:name w:val="page number"/>
    <w:basedOn w:val="DefaultParagraphFont"/>
    <w:rsid w:val="00BB072F"/>
  </w:style>
  <w:style w:type="paragraph" w:styleId="BalloonText">
    <w:name w:val="Balloon Text"/>
    <w:basedOn w:val="Normal"/>
    <w:link w:val="BalloonTextChar"/>
    <w:uiPriority w:val="99"/>
    <w:semiHidden/>
    <w:unhideWhenUsed/>
    <w:rsid w:val="003661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6157"/>
    <w:rPr>
      <w:rFonts w:ascii="Segoe UI" w:eastAsia="Times New Roman" w:hAnsi="Segoe UI" w:cs="Segoe UI"/>
      <w:sz w:val="18"/>
      <w:szCs w:val="18"/>
      <w:lang w:val="en-US" w:eastAsia="ro-RO"/>
    </w:rPr>
  </w:style>
  <w:style w:type="character" w:customStyle="1" w:styleId="Bodytext">
    <w:name w:val="Body text_"/>
    <w:basedOn w:val="DefaultParagraphFont"/>
    <w:link w:val="Corptext4"/>
    <w:rsid w:val="00736366"/>
    <w:rPr>
      <w:rFonts w:ascii="Times New Roman" w:eastAsia="Times New Roman" w:hAnsi="Times New Roman" w:cs="Times New Roman"/>
      <w:spacing w:val="6"/>
      <w:shd w:val="clear" w:color="auto" w:fill="FFFFFF"/>
    </w:rPr>
  </w:style>
  <w:style w:type="paragraph" w:customStyle="1" w:styleId="Corptext4">
    <w:name w:val="Corp text4"/>
    <w:basedOn w:val="Normal"/>
    <w:link w:val="Bodytext"/>
    <w:rsid w:val="00736366"/>
    <w:pPr>
      <w:widowControl w:val="0"/>
      <w:shd w:val="clear" w:color="auto" w:fill="FFFFFF"/>
      <w:spacing w:before="120" w:line="317" w:lineRule="exact"/>
      <w:jc w:val="center"/>
    </w:pPr>
    <w:rPr>
      <w:spacing w:val="6"/>
      <w:sz w:val="22"/>
      <w:szCs w:val="22"/>
      <w:lang w:val="ro-RO" w:eastAsia="en-US"/>
    </w:rPr>
  </w:style>
  <w:style w:type="character" w:customStyle="1" w:styleId="BodytextItalic">
    <w:name w:val="Body text + Italic"/>
    <w:aliases w:val="Spacing 0 pt"/>
    <w:basedOn w:val="Bodytext"/>
    <w:rsid w:val="00A4047B"/>
    <w:rPr>
      <w:rFonts w:ascii="Times New Roman" w:eastAsia="Times New Roman" w:hAnsi="Times New Roman" w:cs="Times New Roman"/>
      <w:b w:val="0"/>
      <w:bCs w:val="0"/>
      <w:i/>
      <w:iCs/>
      <w:smallCaps w:val="0"/>
      <w:strike w:val="0"/>
      <w:color w:val="000000"/>
      <w:spacing w:val="2"/>
      <w:w w:val="100"/>
      <w:position w:val="0"/>
      <w:sz w:val="24"/>
      <w:szCs w:val="24"/>
      <w:u w:val="none"/>
      <w:shd w:val="clear" w:color="auto" w:fill="FFFFFF"/>
      <w:lang w:val="ro-RO"/>
    </w:rPr>
  </w:style>
  <w:style w:type="character" w:customStyle="1" w:styleId="Bodytext3">
    <w:name w:val="Body text (3)_"/>
    <w:basedOn w:val="DefaultParagraphFont"/>
    <w:link w:val="Bodytext30"/>
    <w:rsid w:val="00A755DF"/>
    <w:rPr>
      <w:rFonts w:ascii="MS Gothic" w:eastAsia="MS Gothic" w:hAnsi="MS Gothic" w:cs="MS Gothic"/>
      <w:sz w:val="8"/>
      <w:szCs w:val="8"/>
      <w:shd w:val="clear" w:color="auto" w:fill="FFFFFF"/>
    </w:rPr>
  </w:style>
  <w:style w:type="character" w:customStyle="1" w:styleId="Bodytext3BookmanOldStyle">
    <w:name w:val="Body text (3) + Bookman Old Style"/>
    <w:basedOn w:val="Bodytext3"/>
    <w:rsid w:val="00A755DF"/>
    <w:rPr>
      <w:rFonts w:ascii="Bookman Old Style" w:eastAsia="Bookman Old Style" w:hAnsi="Bookman Old Style" w:cs="Bookman Old Style"/>
      <w:color w:val="000000"/>
      <w:spacing w:val="0"/>
      <w:w w:val="100"/>
      <w:position w:val="0"/>
      <w:sz w:val="8"/>
      <w:szCs w:val="8"/>
      <w:shd w:val="clear" w:color="auto" w:fill="FFFFFF"/>
    </w:rPr>
  </w:style>
  <w:style w:type="character" w:customStyle="1" w:styleId="Bodytext3TimesNewRoman">
    <w:name w:val="Body text (3) + Times New Roman"/>
    <w:aliases w:val="Italic"/>
    <w:basedOn w:val="Bodytext3"/>
    <w:rsid w:val="00A755DF"/>
    <w:rPr>
      <w:rFonts w:ascii="Times New Roman" w:eastAsia="Times New Roman" w:hAnsi="Times New Roman" w:cs="Times New Roman"/>
      <w:i/>
      <w:iCs/>
      <w:color w:val="000000"/>
      <w:spacing w:val="0"/>
      <w:w w:val="100"/>
      <w:position w:val="0"/>
      <w:sz w:val="8"/>
      <w:szCs w:val="8"/>
      <w:shd w:val="clear" w:color="auto" w:fill="FFFFFF"/>
    </w:rPr>
  </w:style>
  <w:style w:type="paragraph" w:customStyle="1" w:styleId="Bodytext30">
    <w:name w:val="Body text (3)"/>
    <w:basedOn w:val="Normal"/>
    <w:link w:val="Bodytext3"/>
    <w:rsid w:val="00A755DF"/>
    <w:pPr>
      <w:widowControl w:val="0"/>
      <w:shd w:val="clear" w:color="auto" w:fill="FFFFFF"/>
      <w:spacing w:line="0" w:lineRule="atLeast"/>
    </w:pPr>
    <w:rPr>
      <w:rFonts w:ascii="MS Gothic" w:eastAsia="MS Gothic" w:hAnsi="MS Gothic" w:cs="MS Gothic"/>
      <w:sz w:val="8"/>
      <w:szCs w:val="8"/>
      <w:lang w:val="ro-RO" w:eastAsia="en-US"/>
    </w:rPr>
  </w:style>
  <w:style w:type="paragraph" w:styleId="ListParagraph">
    <w:name w:val="List Paragraph"/>
    <w:basedOn w:val="Normal"/>
    <w:uiPriority w:val="34"/>
    <w:qFormat/>
    <w:rsid w:val="009014FD"/>
    <w:pPr>
      <w:ind w:left="720"/>
      <w:contextualSpacing/>
    </w:pPr>
  </w:style>
  <w:style w:type="paragraph" w:customStyle="1" w:styleId="CharCharCaracterCaracterCharCharCaracterCaracterCharChar0">
    <w:name w:val="Char Char Caracter Caracter Char Char Caracter Caracter Char Char"/>
    <w:basedOn w:val="Normal"/>
    <w:rsid w:val="00A90858"/>
    <w:pPr>
      <w:widowControl w:val="0"/>
      <w:adjustRightInd w:val="0"/>
      <w:spacing w:line="360" w:lineRule="atLeast"/>
      <w:jc w:val="both"/>
      <w:textAlignment w:val="baseline"/>
    </w:pPr>
    <w:rPr>
      <w:sz w:val="24"/>
      <w:szCs w:val="24"/>
      <w:lang w:val="pl-PL" w:eastAsia="pl-PL"/>
    </w:rPr>
  </w:style>
  <w:style w:type="table" w:styleId="TableGrid">
    <w:name w:val="Table Grid"/>
    <w:basedOn w:val="TableNormal"/>
    <w:uiPriority w:val="39"/>
    <w:rsid w:val="001F70E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0D7"/>
    <w:rPr>
      <w:sz w:val="16"/>
      <w:szCs w:val="16"/>
    </w:rPr>
  </w:style>
  <w:style w:type="paragraph" w:styleId="CommentText">
    <w:name w:val="annotation text"/>
    <w:basedOn w:val="Normal"/>
    <w:link w:val="CommentTextChar"/>
    <w:uiPriority w:val="99"/>
    <w:unhideWhenUsed/>
    <w:rsid w:val="00A840D7"/>
  </w:style>
  <w:style w:type="character" w:customStyle="1" w:styleId="CommentTextChar">
    <w:name w:val="Comment Text Char"/>
    <w:basedOn w:val="DefaultParagraphFont"/>
    <w:link w:val="CommentText"/>
    <w:uiPriority w:val="99"/>
    <w:rsid w:val="00A840D7"/>
    <w:rPr>
      <w:rFonts w:ascii="Times New Roman" w:eastAsia="Times New Roman" w:hAnsi="Times New Roman" w:cs="Times New Roman"/>
      <w:sz w:val="20"/>
      <w:szCs w:val="20"/>
      <w:lang w:val="en-US" w:eastAsia="ro-RO"/>
    </w:rPr>
  </w:style>
  <w:style w:type="paragraph" w:styleId="CommentSubject">
    <w:name w:val="annotation subject"/>
    <w:basedOn w:val="CommentText"/>
    <w:next w:val="CommentText"/>
    <w:link w:val="CommentSubjectChar"/>
    <w:uiPriority w:val="99"/>
    <w:semiHidden/>
    <w:unhideWhenUsed/>
    <w:rsid w:val="00A840D7"/>
    <w:rPr>
      <w:b/>
      <w:bCs/>
    </w:rPr>
  </w:style>
  <w:style w:type="character" w:customStyle="1" w:styleId="CommentSubjectChar">
    <w:name w:val="Comment Subject Char"/>
    <w:basedOn w:val="CommentTextChar"/>
    <w:link w:val="CommentSubject"/>
    <w:uiPriority w:val="99"/>
    <w:semiHidden/>
    <w:rsid w:val="00A840D7"/>
    <w:rPr>
      <w:rFonts w:ascii="Times New Roman" w:eastAsia="Times New Roman" w:hAnsi="Times New Roman" w:cs="Times New Roman"/>
      <w:b/>
      <w:bCs/>
      <w:sz w:val="20"/>
      <w:szCs w:val="20"/>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2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3E229-EE16-4031-9944-15579096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3332</Words>
  <Characters>18995</Characters>
  <Application>Microsoft Office Word</Application>
  <DocSecurity>0</DocSecurity>
  <Lines>158</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Ministerul Public</dc:creator>
  <cp:keywords/>
  <dc:description/>
  <cp:lastModifiedBy>Gabriela Scutea</cp:lastModifiedBy>
  <cp:revision>4</cp:revision>
  <cp:lastPrinted>2022-09-22T06:56:00Z</cp:lastPrinted>
  <dcterms:created xsi:type="dcterms:W3CDTF">2022-09-22T06:33:00Z</dcterms:created>
  <dcterms:modified xsi:type="dcterms:W3CDTF">2022-09-22T07:03:00Z</dcterms:modified>
</cp:coreProperties>
</file>